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6EA" w:rsidRDefault="00880550" w:rsidP="000956EA">
      <w:pPr>
        <w:suppressAutoHyphens/>
        <w:jc w:val="center"/>
        <w:rPr>
          <w:sz w:val="28"/>
        </w:rPr>
      </w:pPr>
      <w:r>
        <w:rPr>
          <w:noProof/>
          <w:sz w:val="28"/>
        </w:rPr>
        <w:drawing>
          <wp:inline distT="0" distB="0" distL="0" distR="0">
            <wp:extent cx="2219325" cy="1123950"/>
            <wp:effectExtent l="0" t="0" r="0" b="0"/>
            <wp:docPr id="1" name="Picture 1" descr="NXST New Logo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XST New Logo 3-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1123950"/>
                    </a:xfrm>
                    <a:prstGeom prst="rect">
                      <a:avLst/>
                    </a:prstGeom>
                    <a:noFill/>
                    <a:ln>
                      <a:noFill/>
                    </a:ln>
                  </pic:spPr>
                </pic:pic>
              </a:graphicData>
            </a:graphic>
          </wp:inline>
        </w:drawing>
      </w:r>
    </w:p>
    <w:p w:rsidR="000956EA" w:rsidRPr="00DD7E41" w:rsidRDefault="00F75BE0" w:rsidP="000956EA">
      <w:pPr>
        <w:keepNext/>
        <w:tabs>
          <w:tab w:val="left" w:pos="5040"/>
          <w:tab w:val="left" w:pos="5760"/>
          <w:tab w:val="right" w:pos="9630"/>
        </w:tabs>
        <w:suppressAutoHyphens/>
        <w:jc w:val="center"/>
        <w:outlineLvl w:val="0"/>
        <w:rPr>
          <w:rFonts w:ascii="Arial" w:hAnsi="Arial"/>
          <w:b/>
          <w:spacing w:val="-3"/>
          <w:sz w:val="28"/>
        </w:rPr>
      </w:pPr>
      <w:bookmarkStart w:id="0" w:name="_GoBack"/>
      <w:r>
        <w:rPr>
          <w:rFonts w:ascii="Arial" w:hAnsi="Arial"/>
          <w:b/>
          <w:spacing w:val="-3"/>
          <w:sz w:val="28"/>
        </w:rPr>
        <w:t>News Announcement</w:t>
      </w:r>
      <w:r w:rsidR="00880550" w:rsidRPr="00DD7E41">
        <w:rPr>
          <w:rFonts w:ascii="Arial" w:hAnsi="Arial"/>
          <w:b/>
          <w:spacing w:val="-3"/>
          <w:sz w:val="28"/>
        </w:rPr>
        <w:tab/>
        <w:t xml:space="preserve">         </w:t>
      </w:r>
      <w:r w:rsidR="00880550" w:rsidRPr="00DD7E41">
        <w:rPr>
          <w:rFonts w:ascii="Arial" w:hAnsi="Arial"/>
          <w:b/>
          <w:spacing w:val="-3"/>
          <w:sz w:val="28"/>
        </w:rPr>
        <w:tab/>
        <w:t xml:space="preserve">        </w:t>
      </w:r>
      <w:proofErr w:type="gramStart"/>
      <w:r w:rsidR="00880550" w:rsidRPr="00DD7E41">
        <w:rPr>
          <w:rFonts w:ascii="Arial" w:hAnsi="Arial"/>
          <w:b/>
          <w:spacing w:val="-3"/>
          <w:sz w:val="28"/>
        </w:rPr>
        <w:t>For</w:t>
      </w:r>
      <w:proofErr w:type="gramEnd"/>
      <w:r w:rsidR="00880550" w:rsidRPr="00DD7E41">
        <w:rPr>
          <w:rFonts w:ascii="Arial" w:hAnsi="Arial"/>
          <w:b/>
          <w:spacing w:val="-3"/>
          <w:sz w:val="28"/>
        </w:rPr>
        <w:t xml:space="preserve"> Immediate Release</w:t>
      </w:r>
    </w:p>
    <w:bookmarkEnd w:id="0"/>
    <w:p w:rsidR="000956EA" w:rsidRPr="002F2F9B" w:rsidRDefault="00E05E0E" w:rsidP="000956EA">
      <w:pPr>
        <w:pStyle w:val="BodyText3"/>
        <w:jc w:val="left"/>
        <w:rPr>
          <w:sz w:val="22"/>
          <w:szCs w:val="22"/>
        </w:rPr>
      </w:pPr>
    </w:p>
    <w:p w:rsidR="000956EA" w:rsidRPr="00DD7E41" w:rsidRDefault="00880550" w:rsidP="000956EA">
      <w:pPr>
        <w:jc w:val="center"/>
        <w:rPr>
          <w:rFonts w:ascii="Arial" w:hAnsi="Arial"/>
          <w:b/>
        </w:rPr>
      </w:pPr>
      <w:r w:rsidRPr="00DD7E41">
        <w:rPr>
          <w:rFonts w:ascii="Arial" w:hAnsi="Arial"/>
          <w:b/>
        </w:rPr>
        <w:t>NEXSTAR BROADCASTING FOURTH QUARTER NET</w:t>
      </w:r>
    </w:p>
    <w:p w:rsidR="000956EA" w:rsidRPr="00DD7E41" w:rsidRDefault="00880550" w:rsidP="000956EA">
      <w:pPr>
        <w:jc w:val="center"/>
        <w:rPr>
          <w:rFonts w:ascii="Arial" w:hAnsi="Arial"/>
          <w:b/>
        </w:rPr>
      </w:pPr>
      <w:r w:rsidRPr="00DD7E41">
        <w:rPr>
          <w:rFonts w:ascii="Arial" w:hAnsi="Arial"/>
          <w:b/>
        </w:rPr>
        <w:t>REVENUE RISES 30.8% TO A RECORD $252.3 MILLION</w:t>
      </w:r>
    </w:p>
    <w:p w:rsidR="000956EA" w:rsidRPr="009C599B" w:rsidRDefault="00E05E0E" w:rsidP="000956EA">
      <w:pPr>
        <w:jc w:val="center"/>
        <w:rPr>
          <w:rFonts w:ascii="Arial" w:hAnsi="Arial"/>
          <w:bCs/>
          <w:sz w:val="16"/>
          <w:szCs w:val="22"/>
        </w:rPr>
      </w:pPr>
    </w:p>
    <w:p w:rsidR="008F00EF" w:rsidRDefault="00880550" w:rsidP="000956EA">
      <w:pPr>
        <w:jc w:val="center"/>
        <w:rPr>
          <w:rFonts w:ascii="Arial" w:hAnsi="Arial" w:cs="Arial"/>
          <w:b/>
          <w:bCs/>
          <w:sz w:val="22"/>
        </w:rPr>
      </w:pPr>
      <w:r w:rsidRPr="00DD7E41">
        <w:rPr>
          <w:rFonts w:ascii="Arial" w:hAnsi="Arial" w:cs="Arial"/>
          <w:b/>
          <w:bCs/>
          <w:sz w:val="22"/>
        </w:rPr>
        <w:t xml:space="preserve">Net Revenue Growth and 4Q Operating Income of $67.3 Million Drives Record 4Q </w:t>
      </w:r>
      <w:proofErr w:type="spellStart"/>
      <w:r w:rsidRPr="00DD7E41">
        <w:rPr>
          <w:rFonts w:ascii="Arial" w:hAnsi="Arial" w:cs="Arial"/>
          <w:b/>
          <w:bCs/>
          <w:sz w:val="22"/>
        </w:rPr>
        <w:t>BCF</w:t>
      </w:r>
      <w:proofErr w:type="spellEnd"/>
    </w:p>
    <w:p w:rsidR="000956EA" w:rsidRDefault="00880550" w:rsidP="000956EA">
      <w:pPr>
        <w:jc w:val="center"/>
        <w:rPr>
          <w:rFonts w:ascii="Arial" w:hAnsi="Arial" w:cs="Arial"/>
          <w:b/>
          <w:bCs/>
          <w:sz w:val="22"/>
        </w:rPr>
      </w:pPr>
      <w:proofErr w:type="gramStart"/>
      <w:r w:rsidRPr="00DD7E41">
        <w:rPr>
          <w:rFonts w:ascii="Arial" w:hAnsi="Arial" w:cs="Arial"/>
          <w:b/>
          <w:bCs/>
          <w:sz w:val="22"/>
        </w:rPr>
        <w:t>of</w:t>
      </w:r>
      <w:proofErr w:type="gramEnd"/>
      <w:r w:rsidRPr="00DD7E41">
        <w:rPr>
          <w:rFonts w:ascii="Arial" w:hAnsi="Arial" w:cs="Arial"/>
          <w:b/>
          <w:bCs/>
          <w:sz w:val="22"/>
        </w:rPr>
        <w:t xml:space="preserve"> $104.6 Million, Adjusted EBITDA of $93.0 Million, and Free Cash Flow of $69.0 Million</w:t>
      </w:r>
    </w:p>
    <w:p w:rsidR="009C599B" w:rsidRPr="009C599B" w:rsidRDefault="00E05E0E" w:rsidP="009C599B">
      <w:pPr>
        <w:jc w:val="center"/>
        <w:rPr>
          <w:rFonts w:ascii="Arial" w:hAnsi="Arial"/>
          <w:bCs/>
          <w:sz w:val="16"/>
          <w:szCs w:val="22"/>
        </w:rPr>
      </w:pPr>
    </w:p>
    <w:p w:rsidR="005406CA" w:rsidRDefault="00880550" w:rsidP="005406CA">
      <w:pPr>
        <w:pStyle w:val="BodyText3"/>
        <w:rPr>
          <w:rFonts w:cs="Arial"/>
          <w:bCs/>
          <w:sz w:val="22"/>
        </w:rPr>
      </w:pPr>
      <w:r>
        <w:rPr>
          <w:rFonts w:cs="Arial"/>
          <w:bCs/>
          <w:sz w:val="22"/>
        </w:rPr>
        <w:t>Record Full Year Operating Income of $206.1 Million, Adjusted EBITDA</w:t>
      </w:r>
    </w:p>
    <w:p w:rsidR="005406CA" w:rsidRDefault="00880550" w:rsidP="005406CA">
      <w:pPr>
        <w:pStyle w:val="BodyText3"/>
        <w:rPr>
          <w:rFonts w:cs="Arial"/>
          <w:bCs/>
          <w:sz w:val="22"/>
        </w:rPr>
      </w:pPr>
      <w:proofErr w:type="gramStart"/>
      <w:r>
        <w:rPr>
          <w:rFonts w:cs="Arial"/>
          <w:bCs/>
          <w:sz w:val="22"/>
        </w:rPr>
        <w:t>of</w:t>
      </w:r>
      <w:proofErr w:type="gramEnd"/>
      <w:r>
        <w:rPr>
          <w:rFonts w:cs="Arial"/>
          <w:bCs/>
          <w:sz w:val="22"/>
        </w:rPr>
        <w:t xml:space="preserve"> $305.1 Million and Free Cash Flow of $208.2 Million</w:t>
      </w:r>
    </w:p>
    <w:p w:rsidR="009C599B" w:rsidRPr="009C599B" w:rsidRDefault="00E05E0E" w:rsidP="009C599B">
      <w:pPr>
        <w:jc w:val="center"/>
        <w:rPr>
          <w:rFonts w:ascii="Arial" w:hAnsi="Arial"/>
          <w:bCs/>
          <w:sz w:val="16"/>
          <w:szCs w:val="22"/>
        </w:rPr>
      </w:pPr>
    </w:p>
    <w:p w:rsidR="00BC23C3" w:rsidRDefault="00880550" w:rsidP="000956EA">
      <w:pPr>
        <w:jc w:val="center"/>
        <w:rPr>
          <w:rFonts w:ascii="Arial" w:hAnsi="Arial" w:cs="Arial"/>
          <w:b/>
          <w:bCs/>
          <w:sz w:val="22"/>
        </w:rPr>
      </w:pPr>
      <w:r>
        <w:rPr>
          <w:rFonts w:ascii="Arial" w:hAnsi="Arial" w:cs="Arial"/>
          <w:b/>
          <w:bCs/>
          <w:sz w:val="22"/>
        </w:rPr>
        <w:t>Nexstar Establishes Guidance for 2016/2017</w:t>
      </w:r>
    </w:p>
    <w:p w:rsidR="000956EA" w:rsidRPr="00DD7E41" w:rsidRDefault="00E05E0E" w:rsidP="000956EA">
      <w:pPr>
        <w:rPr>
          <w:rFonts w:ascii="Arial" w:hAnsi="Arial"/>
          <w:bCs/>
          <w:sz w:val="22"/>
        </w:rPr>
      </w:pPr>
    </w:p>
    <w:p w:rsidR="000956EA" w:rsidRPr="00DD7E41" w:rsidRDefault="00880550" w:rsidP="000956EA">
      <w:pPr>
        <w:spacing w:line="264" w:lineRule="auto"/>
        <w:jc w:val="both"/>
        <w:rPr>
          <w:rFonts w:ascii="Arial" w:hAnsi="Arial" w:cs="Arial"/>
          <w:sz w:val="22"/>
        </w:rPr>
      </w:pPr>
      <w:r w:rsidRPr="00DD7E41">
        <w:rPr>
          <w:rFonts w:ascii="Arial" w:hAnsi="Arial" w:cs="Arial"/>
          <w:sz w:val="22"/>
        </w:rPr>
        <w:t xml:space="preserve">IRVING, Texas – February 25, 2016 – Nexstar Broadcasting Group, Inc. (NASDAQ: </w:t>
      </w:r>
      <w:proofErr w:type="spellStart"/>
      <w:r w:rsidRPr="00DD7E41">
        <w:rPr>
          <w:rFonts w:ascii="Arial" w:hAnsi="Arial" w:cs="Arial"/>
          <w:sz w:val="22"/>
        </w:rPr>
        <w:t>NXST</w:t>
      </w:r>
      <w:proofErr w:type="spellEnd"/>
      <w:r w:rsidRPr="00DD7E41">
        <w:rPr>
          <w:rFonts w:ascii="Arial" w:hAnsi="Arial" w:cs="Arial"/>
          <w:sz w:val="22"/>
        </w:rPr>
        <w:t xml:space="preserve">) </w:t>
      </w:r>
      <w:r w:rsidRPr="00DD7E41">
        <w:rPr>
          <w:rFonts w:ascii="Arial" w:hAnsi="Arial" w:cs="Arial"/>
          <w:sz w:val="22"/>
          <w:szCs w:val="22"/>
        </w:rPr>
        <w:t xml:space="preserve">(“Nexstar” or “the Company”) </w:t>
      </w:r>
      <w:r w:rsidRPr="00DD7E41">
        <w:rPr>
          <w:rFonts w:ascii="Arial" w:hAnsi="Arial" w:cs="Arial"/>
          <w:sz w:val="22"/>
        </w:rPr>
        <w:t xml:space="preserve">today reported record financial results for the fourth quarter and full year ended December 31, 2015 as summarized below. </w:t>
      </w:r>
    </w:p>
    <w:p w:rsidR="000956EA" w:rsidRPr="00EE4639" w:rsidRDefault="00E05E0E" w:rsidP="000956EA">
      <w:pPr>
        <w:pStyle w:val="BodyText3"/>
        <w:rPr>
          <w:b w:val="0"/>
          <w:bCs/>
          <w:sz w:val="12"/>
        </w:rPr>
      </w:pPr>
    </w:p>
    <w:p w:rsidR="000956EA" w:rsidRDefault="00880550" w:rsidP="000956EA">
      <w:pPr>
        <w:jc w:val="center"/>
        <w:rPr>
          <w:rFonts w:ascii="Arial" w:hAnsi="Arial" w:cs="Arial"/>
          <w:b/>
          <w:bCs/>
          <w:color w:val="000000"/>
          <w:sz w:val="22"/>
        </w:rPr>
      </w:pPr>
      <w:r w:rsidRPr="00A0064D">
        <w:rPr>
          <w:rFonts w:ascii="Arial" w:hAnsi="Arial" w:cs="Arial"/>
          <w:b/>
          <w:bCs/>
          <w:color w:val="000000"/>
          <w:sz w:val="22"/>
        </w:rPr>
        <w:t>Summary 2015 Fourth Quarter and Full Year Highlights</w:t>
      </w:r>
    </w:p>
    <w:p w:rsidR="000956EA" w:rsidRDefault="00880550" w:rsidP="000956EA">
      <w:pPr>
        <w:jc w:val="both"/>
        <w:rPr>
          <w:rFonts w:ascii="Arial" w:hAnsi="Arial" w:cs="Arial"/>
          <w:b/>
          <w:bCs/>
          <w:color w:val="000000"/>
          <w:sz w:val="16"/>
        </w:rPr>
      </w:pPr>
      <w:r w:rsidRPr="00A0064D">
        <w:rPr>
          <w:rFonts w:ascii="Arial" w:hAnsi="Arial" w:cs="Arial"/>
          <w:b/>
          <w:bCs/>
          <w:color w:val="000000"/>
          <w:sz w:val="16"/>
        </w:rPr>
        <w:tab/>
      </w:r>
      <w:r w:rsidRPr="00A0064D">
        <w:rPr>
          <w:rFonts w:ascii="Arial" w:hAnsi="Arial" w:cs="Arial"/>
          <w:b/>
          <w:bCs/>
          <w:color w:val="000000"/>
          <w:sz w:val="16"/>
        </w:rPr>
        <w:tab/>
      </w:r>
    </w:p>
    <w:sdt>
      <w:sdtPr>
        <w:alias w:val="AL-PR_Qtr_Highlights - Nexstar_Mission_Marshall_Dec312015"/>
        <w:tag w:val="db103b5f-8be3-409d-bcc0-9fb8f0240d85"/>
        <w:id w:val="240606294"/>
      </w:sdtPr>
      <w:sdtEndPr/>
      <w:sdtContent>
        <w:tbl>
          <w:tblPr>
            <w:tblStyle w:val="TableGrid"/>
            <w:tblW w:w="5097" w:type="pct"/>
            <w:jc w:val="center"/>
            <w:tblBorders>
              <w:top w:val="nil"/>
              <w:left w:val="nil"/>
              <w:bottom w:val="nil"/>
              <w:right w:val="nil"/>
              <w:insideH w:val="nil"/>
              <w:insideV w:val="nil"/>
            </w:tblBorders>
            <w:tblCellMar>
              <w:top w:w="15" w:type="dxa"/>
              <w:left w:w="0" w:type="dxa"/>
              <w:right w:w="15" w:type="dxa"/>
            </w:tblCellMar>
            <w:tblLook w:val="04A0" w:firstRow="1" w:lastRow="0" w:firstColumn="1" w:lastColumn="0" w:noHBand="0" w:noVBand="1"/>
          </w:tblPr>
          <w:tblGrid>
            <w:gridCol w:w="3071"/>
            <w:gridCol w:w="21"/>
            <w:gridCol w:w="127"/>
            <w:gridCol w:w="739"/>
            <w:gridCol w:w="193"/>
            <w:gridCol w:w="9"/>
            <w:gridCol w:w="10"/>
            <w:gridCol w:w="8"/>
            <w:gridCol w:w="14"/>
            <w:gridCol w:w="9"/>
            <w:gridCol w:w="13"/>
            <w:gridCol w:w="12"/>
            <w:gridCol w:w="115"/>
            <w:gridCol w:w="738"/>
            <w:gridCol w:w="10"/>
            <w:gridCol w:w="183"/>
            <w:gridCol w:w="9"/>
            <w:gridCol w:w="12"/>
            <w:gridCol w:w="9"/>
            <w:gridCol w:w="91"/>
            <w:gridCol w:w="634"/>
            <w:gridCol w:w="48"/>
            <w:gridCol w:w="215"/>
            <w:gridCol w:w="21"/>
            <w:gridCol w:w="14"/>
            <w:gridCol w:w="113"/>
            <w:gridCol w:w="738"/>
            <w:gridCol w:w="16"/>
            <w:gridCol w:w="177"/>
            <w:gridCol w:w="10"/>
            <w:gridCol w:w="11"/>
            <w:gridCol w:w="14"/>
            <w:gridCol w:w="113"/>
            <w:gridCol w:w="817"/>
            <w:gridCol w:w="193"/>
            <w:gridCol w:w="31"/>
            <w:gridCol w:w="7"/>
            <w:gridCol w:w="98"/>
            <w:gridCol w:w="633"/>
            <w:gridCol w:w="22"/>
            <w:gridCol w:w="239"/>
          </w:tblGrid>
          <w:tr w:rsidR="000E308C" w:rsidTr="00F50DBC">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t xml:space="preserve"> </w:t>
                </w: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40" w:type="pct"/>
                <w:gridSpan w:val="12"/>
                <w:tcBorders>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Three Months Ended December 31,</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tcBorders>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 xml:space="preserve"> </w:t>
                </w:r>
              </w:p>
            </w:tc>
            <w:tc>
              <w:tcPr>
                <w:tcW w:w="1057" w:type="pct"/>
                <w:gridSpan w:val="10"/>
                <w:tcBorders>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Twelve Months Ended December 31,</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r>
          <w:tr w:rsidR="000E308C" w:rsidTr="00F50DBC">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jc w:val="center"/>
                  <w:rPr>
                    <w:rFonts w:ascii="Arial"/>
                    <w:color w:val="000000"/>
                    <w:sz w:val="20"/>
                  </w:rPr>
                </w:pPr>
                <w:r>
                  <w:rPr>
                    <w:rFonts w:ascii="Arial"/>
                    <w:color w:val="000000"/>
                    <w:sz w:val="20"/>
                  </w:rPr>
                  <w:t>($ in thousands)</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53"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2015</w:t>
                </w:r>
              </w:p>
            </w:tc>
            <w:tc>
              <w:tcPr>
                <w:tcW w:w="10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0"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 xml:space="preserve"> </w:t>
                </w:r>
              </w:p>
            </w:tc>
            <w:tc>
              <w:tcPr>
                <w:tcW w:w="13"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451" w:type="pct"/>
                <w:gridSpan w:val="3"/>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2014</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04" w:type="pct"/>
                <w:gridSpan w:val="3"/>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Change</w:t>
                </w:r>
              </w:p>
            </w:tc>
            <w:tc>
              <w:tcPr>
                <w:tcW w:w="113"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8"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 xml:space="preserve"> </w:t>
                </w:r>
              </w:p>
            </w:tc>
            <w:tc>
              <w:tcPr>
                <w:tcW w:w="453" w:type="pct"/>
                <w:gridSpan w:val="3"/>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2015</w:t>
                </w:r>
              </w:p>
            </w:tc>
            <w:tc>
              <w:tcPr>
                <w:tcW w:w="98"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3"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 xml:space="preserve"> </w:t>
                </w:r>
              </w:p>
            </w:tc>
            <w:tc>
              <w:tcPr>
                <w:tcW w:w="487"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2014</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21" w:type="pct"/>
                <w:gridSpan w:val="2"/>
                <w:shd w:val="clear" w:color="auto" w:fill="auto"/>
                <w:tcMar>
                  <w:top w:w="15" w:type="dxa"/>
                  <w:left w:w="0" w:type="dxa"/>
                  <w:bottom w:w="0" w:type="dxa"/>
                  <w:right w:w="15" w:type="dxa"/>
                </w:tcMar>
                <w:vAlign w:val="bottom"/>
              </w:tcPr>
              <w:p w:rsidR="001124D6" w:rsidRDefault="00E05E0E" w:rsidP="003166AD">
                <w:pPr>
                  <w:jc w:val="center"/>
                  <w:rPr>
                    <w:rFonts w:ascii="Arial"/>
                    <w:b/>
                    <w:color w:val="000000"/>
                    <w:sz w:val="20"/>
                  </w:rPr>
                </w:pPr>
              </w:p>
            </w:tc>
            <w:tc>
              <w:tcPr>
                <w:tcW w:w="393" w:type="pct"/>
                <w:gridSpan w:val="3"/>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20"/>
                  </w:rPr>
                </w:pPr>
                <w:r>
                  <w:rPr>
                    <w:rFonts w:ascii="Arial"/>
                    <w:b/>
                    <w:color w:val="000000"/>
                    <w:sz w:val="20"/>
                  </w:rPr>
                  <w:t>Change</w:t>
                </w:r>
              </w:p>
            </w:tc>
            <w:tc>
              <w:tcPr>
                <w:tcW w:w="125"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r>
          <w:tr w:rsidR="000E308C" w:rsidTr="00F50DBC">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Local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102,780</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77,219</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+33.1</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tcBorders>
                  <w:top w:val="single" w:sz="2" w:space="0" w:color="000000"/>
                </w:tcBorders>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369,313</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tcBorders>
                  <w:top w:val="single" w:sz="2" w:space="0" w:color="000000"/>
                </w:tcBorders>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279,150</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+32.3</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National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41,337</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31,094</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+32.9</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153,607</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109,930</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+39.7</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ind w:left="274"/>
                  <w:rPr>
                    <w:rFonts w:ascii="Arial"/>
                    <w:b/>
                    <w:color w:val="000000"/>
                    <w:sz w:val="20"/>
                  </w:rPr>
                </w:pPr>
                <w:r>
                  <w:rPr>
                    <w:rFonts w:ascii="Arial"/>
                    <w:b/>
                    <w:color w:val="000000"/>
                    <w:sz w:val="20"/>
                  </w:rPr>
                  <w:t>Core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144,117</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108,313</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+33.1</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522,920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389,080</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+34.4</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Political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7,887</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35,366</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(77.7</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12,716</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64,294</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(80.2</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Retransmission Fee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81,695</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44,134</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+85.1</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298,023</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154,963</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+92.3</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Digital Media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29,283</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14,231</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+105.8</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89,902</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46,692</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+92.5</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Other</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1,398</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1,232</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+13.5</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5,384</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4,514</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+19.3</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Trade and Barter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12,385</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8,756</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+41.4</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47,100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31,214</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+50.9</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ind w:left="274"/>
                  <w:rPr>
                    <w:rFonts w:ascii="Arial"/>
                    <w:b/>
                    <w:color w:val="000000"/>
                    <w:sz w:val="20"/>
                  </w:rPr>
                </w:pPr>
                <w:r>
                  <w:rPr>
                    <w:rFonts w:ascii="Arial"/>
                    <w:b/>
                    <w:color w:val="000000"/>
                    <w:sz w:val="20"/>
                  </w:rPr>
                  <w:t>Gross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276,765</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212,032</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+30.5</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976,045</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690,757</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+41.3</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Less: Agency Commissions</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E82448">
                <w:pPr>
                  <w:jc w:val="right"/>
                  <w:rPr>
                    <w:rFonts w:ascii="Arial"/>
                    <w:color w:val="000000"/>
                    <w:sz w:val="20"/>
                  </w:rPr>
                </w:pPr>
                <w:r>
                  <w:rPr>
                    <w:rFonts w:ascii="Arial"/>
                    <w:color w:val="000000"/>
                    <w:sz w:val="20"/>
                  </w:rPr>
                  <w:t>24,503</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19,228</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E82448">
                <w:pPr>
                  <w:jc w:val="right"/>
                  <w:rPr>
                    <w:rFonts w:ascii="Arial"/>
                    <w:color w:val="000000"/>
                    <w:sz w:val="20"/>
                  </w:rPr>
                </w:pPr>
                <w:r>
                  <w:rPr>
                    <w:rFonts w:ascii="Arial"/>
                    <w:color w:val="000000"/>
                    <w:sz w:val="20"/>
                  </w:rPr>
                  <w:t>+27.4</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38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79,668</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42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59,446</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+34.0</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ind w:left="274"/>
                  <w:rPr>
                    <w:rFonts w:ascii="Arial"/>
                    <w:b/>
                    <w:color w:val="000000"/>
                    <w:sz w:val="20"/>
                  </w:rPr>
                </w:pPr>
                <w:r>
                  <w:rPr>
                    <w:rFonts w:ascii="Arial"/>
                    <w:b/>
                    <w:color w:val="000000"/>
                    <w:sz w:val="20"/>
                  </w:rPr>
                  <w:t>Net Revenue</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E82448">
                <w:pPr>
                  <w:jc w:val="right"/>
                  <w:rPr>
                    <w:rFonts w:ascii="Arial"/>
                    <w:b/>
                    <w:color w:val="000000"/>
                    <w:sz w:val="20"/>
                  </w:rPr>
                </w:pPr>
                <w:r>
                  <w:rPr>
                    <w:rFonts w:ascii="Arial"/>
                    <w:b/>
                    <w:color w:val="000000"/>
                    <w:sz w:val="20"/>
                  </w:rPr>
                  <w:t>252,262</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192,804</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E82448">
                <w:pPr>
                  <w:jc w:val="right"/>
                  <w:rPr>
                    <w:rFonts w:ascii="Arial"/>
                    <w:color w:val="000000"/>
                    <w:sz w:val="20"/>
                  </w:rPr>
                </w:pPr>
                <w:r>
                  <w:rPr>
                    <w:rFonts w:ascii="Arial"/>
                    <w:color w:val="000000"/>
                    <w:sz w:val="20"/>
                  </w:rPr>
                  <w:t>+30.8</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896,377</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631,311</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+42.0</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b/>
                    <w:color w:val="000000"/>
                    <w:sz w:val="20"/>
                  </w:rPr>
                </w:pPr>
                <w:r>
                  <w:rPr>
                    <w:rFonts w:ascii="Arial"/>
                    <w:b/>
                    <w:color w:val="000000"/>
                    <w:sz w:val="20"/>
                  </w:rPr>
                  <w:t>Gross Revenue Excluding Political</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268,878</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176,666</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+52.2</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963,329</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626,463</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+53.8</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b/>
                    <w:color w:val="000000"/>
                    <w:sz w:val="20"/>
                  </w:rPr>
                </w:pPr>
                <w:r>
                  <w:rPr>
                    <w:rFonts w:ascii="Arial"/>
                    <w:b/>
                    <w:color w:val="000000"/>
                    <w:sz w:val="20"/>
                  </w:rPr>
                  <w:t>Income from Operations</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67,346</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68,899</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(2.3</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206,107</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173,237</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+19.0</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b/>
                    <w:color w:val="000000"/>
                    <w:sz w:val="20"/>
                  </w:rPr>
                </w:pPr>
                <w:r>
                  <w:rPr>
                    <w:rFonts w:ascii="Arial"/>
                    <w:b/>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Calibri"/>
                    <w:color w:val="000000"/>
                  </w:rPr>
                </w:pPr>
                <w:r>
                  <w:rPr>
                    <w:rFonts w:ascii="Arial"/>
                    <w:b/>
                    <w:color w:val="000000"/>
                    <w:sz w:val="20"/>
                  </w:rPr>
                  <w:t>Broadcast Cash Flow</w:t>
                </w:r>
                <w:r>
                  <w:rPr>
                    <w:rFonts w:ascii="Arial"/>
                    <w:b/>
                    <w:color w:val="000000"/>
                    <w:sz w:val="20"/>
                    <w:vertAlign w:val="superscript"/>
                  </w:rPr>
                  <w:t>(1)</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104,587</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94,500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+10.7</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349,966</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269,908</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+29.7</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Calibri"/>
                    <w:color w:val="000000"/>
                  </w:rPr>
                </w:pPr>
                <w:r>
                  <w:rPr>
                    <w:rFonts w:ascii="Arial"/>
                    <w:b/>
                    <w:color w:val="000000"/>
                    <w:sz w:val="20"/>
                  </w:rPr>
                  <w:t>Broadcast Cash Flow Margin</w:t>
                </w:r>
                <w:r>
                  <w:rPr>
                    <w:rFonts w:ascii="Arial"/>
                    <w:b/>
                    <w:color w:val="000000"/>
                    <w:sz w:val="20"/>
                    <w:vertAlign w:val="superscript"/>
                  </w:rPr>
                  <w:t>(2)</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F75DB6">
                <w:pPr>
                  <w:jc w:val="right"/>
                  <w:rPr>
                    <w:rFonts w:ascii="Arial"/>
                    <w:b/>
                    <w:color w:val="000000"/>
                    <w:sz w:val="20"/>
                  </w:rPr>
                </w:pPr>
                <w:r>
                  <w:rPr>
                    <w:rFonts w:ascii="Arial"/>
                    <w:b/>
                    <w:color w:val="000000"/>
                    <w:sz w:val="20"/>
                  </w:rPr>
                  <w:t>41.5</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49.0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39.0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42.8</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b/>
                    <w:color w:val="000000"/>
                    <w:sz w:val="20"/>
                  </w:rPr>
                </w:pPr>
                <w:r>
                  <w:rPr>
                    <w:rFonts w:ascii="Arial"/>
                    <w:b/>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Calibri"/>
                    <w:color w:val="000000"/>
                  </w:rPr>
                </w:pPr>
                <w:r>
                  <w:rPr>
                    <w:rFonts w:ascii="Arial"/>
                    <w:b/>
                    <w:color w:val="000000"/>
                    <w:sz w:val="20"/>
                  </w:rPr>
                  <w:t>Adjusted EBITDA</w:t>
                </w:r>
                <w:r>
                  <w:rPr>
                    <w:rFonts w:ascii="Arial"/>
                    <w:b/>
                    <w:color w:val="000000"/>
                    <w:sz w:val="20"/>
                    <w:vertAlign w:val="superscript"/>
                  </w:rPr>
                  <w:t>(1)</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92,996</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85,611</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+8.6</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305,110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234,734</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20"/>
                  </w:rPr>
                </w:pPr>
                <w:r>
                  <w:rPr>
                    <w:rFonts w:ascii="Arial"/>
                    <w:color w:val="000000"/>
                    <w:sz w:val="20"/>
                  </w:rPr>
                  <w:t>+30.0</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Calibri"/>
                    <w:color w:val="000000"/>
                  </w:rPr>
                </w:pPr>
                <w:r>
                  <w:rPr>
                    <w:rFonts w:ascii="Arial"/>
                    <w:b/>
                    <w:color w:val="000000"/>
                    <w:sz w:val="20"/>
                  </w:rPr>
                  <w:t>Adjusted EBITDA Margin</w:t>
                </w:r>
                <w:r>
                  <w:rPr>
                    <w:rFonts w:ascii="Arial"/>
                    <w:b/>
                    <w:color w:val="000000"/>
                    <w:sz w:val="20"/>
                    <w:vertAlign w:val="superscript"/>
                  </w:rPr>
                  <w:t>(2)</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F75DB6">
                <w:pPr>
                  <w:jc w:val="right"/>
                  <w:rPr>
                    <w:rFonts w:ascii="Arial"/>
                    <w:b/>
                    <w:color w:val="000000"/>
                    <w:sz w:val="20"/>
                  </w:rPr>
                </w:pPr>
                <w:r>
                  <w:rPr>
                    <w:rFonts w:ascii="Arial"/>
                    <w:b/>
                    <w:color w:val="000000"/>
                    <w:sz w:val="20"/>
                  </w:rPr>
                  <w:t>36.9</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44.4</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34.0</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37.2</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8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4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137" w:type="pct"/>
                <w:gridSpan w:val="2"/>
                <w:shd w:val="clear" w:color="auto" w:fill="auto"/>
                <w:noWrap/>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r>
          <w:tr w:rsidR="000E308C" w:rsidTr="007267E2">
            <w:trPr>
              <w:cantSplit/>
              <w:jc w:val="center"/>
            </w:trPr>
            <w:tc>
              <w:tcPr>
                <w:tcW w:w="1607" w:type="pct"/>
                <w:shd w:val="clear" w:color="auto" w:fill="auto"/>
                <w:tcMar>
                  <w:top w:w="15" w:type="dxa"/>
                  <w:left w:w="0" w:type="dxa"/>
                  <w:bottom w:w="0" w:type="dxa"/>
                  <w:right w:w="15" w:type="dxa"/>
                </w:tcMar>
                <w:vAlign w:val="bottom"/>
              </w:tcPr>
              <w:p w:rsidR="001124D6" w:rsidRDefault="00880550" w:rsidP="003166AD">
                <w:pPr>
                  <w:rPr>
                    <w:rFonts w:ascii="Calibri"/>
                    <w:color w:val="000000"/>
                  </w:rPr>
                </w:pPr>
                <w:r>
                  <w:rPr>
                    <w:rFonts w:ascii="Arial"/>
                    <w:b/>
                    <w:color w:val="000000"/>
                    <w:sz w:val="20"/>
                  </w:rPr>
                  <w:t>Free Cash Flow</w:t>
                </w:r>
                <w:r>
                  <w:rPr>
                    <w:rFonts w:ascii="Arial"/>
                    <w:b/>
                    <w:color w:val="000000"/>
                    <w:sz w:val="20"/>
                    <w:vertAlign w:val="superscript"/>
                  </w:rPr>
                  <w:t>(1)</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66" w:type="pct"/>
                <w:shd w:val="clear" w:color="auto" w:fill="auto"/>
                <w:noWrap/>
                <w:tcMar>
                  <w:top w:w="15" w:type="dxa"/>
                  <w:left w:w="0" w:type="dxa"/>
                  <w:bottom w:w="0" w:type="dxa"/>
                  <w:right w:w="15" w:type="dxa"/>
                </w:tcMar>
                <w:vAlign w:val="bottom"/>
              </w:tcPr>
              <w:p w:rsidR="001124D6" w:rsidRDefault="00880550">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pPr>
                  <w:jc w:val="right"/>
                  <w:rPr>
                    <w:rFonts w:ascii="Arial"/>
                    <w:b/>
                    <w:color w:val="000000"/>
                    <w:sz w:val="20"/>
                  </w:rPr>
                </w:pPr>
                <w:r>
                  <w:rPr>
                    <w:rFonts w:ascii="Arial"/>
                    <w:b/>
                    <w:color w:val="000000"/>
                    <w:sz w:val="20"/>
                  </w:rPr>
                  <w:t>68,979</w:t>
                </w:r>
              </w:p>
            </w:tc>
            <w:tc>
              <w:tcPr>
                <w:tcW w:w="101" w:type="pct"/>
                <w:shd w:val="clear" w:color="auto" w:fill="auto"/>
                <w:noWrap/>
                <w:tcMar>
                  <w:top w:w="15" w:type="dxa"/>
                  <w:left w:w="0" w:type="dxa"/>
                  <w:bottom w:w="0" w:type="dxa"/>
                  <w:right w:w="15" w:type="dxa"/>
                </w:tcMar>
                <w:vAlign w:val="bottom"/>
              </w:tcPr>
              <w:p w:rsidR="001124D6" w:rsidRDefault="00880550">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65,231</w:t>
                </w:r>
              </w:p>
            </w:tc>
            <w:tc>
              <w:tcPr>
                <w:tcW w:w="101"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2"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53" w:type="pct"/>
                <w:gridSpan w:val="2"/>
                <w:shd w:val="clear" w:color="auto" w:fill="auto"/>
                <w:noWrap/>
                <w:tcMar>
                  <w:top w:w="15" w:type="dxa"/>
                  <w:left w:w="0" w:type="dxa"/>
                  <w:bottom w:w="0" w:type="dxa"/>
                  <w:right w:w="15" w:type="dxa"/>
                </w:tcMar>
                <w:vAlign w:val="bottom"/>
              </w:tcPr>
              <w:p w:rsidR="001124D6" w:rsidRDefault="00880550">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20"/>
                  </w:rPr>
                </w:pPr>
                <w:r>
                  <w:rPr>
                    <w:rFonts w:ascii="Arial"/>
                    <w:color w:val="000000"/>
                    <w:sz w:val="20"/>
                  </w:rPr>
                  <w:t>+5.7</w:t>
                </w:r>
              </w:p>
            </w:tc>
            <w:tc>
              <w:tcPr>
                <w:tcW w:w="136" w:type="pct"/>
                <w:gridSpan w:val="2"/>
                <w:shd w:val="clear" w:color="auto" w:fill="auto"/>
                <w:noWrap/>
                <w:tcMar>
                  <w:top w:w="15" w:type="dxa"/>
                  <w:left w:w="0" w:type="dxa"/>
                  <w:bottom w:w="0" w:type="dxa"/>
                  <w:right w:w="15" w:type="dxa"/>
                </w:tcMar>
                <w:vAlign w:val="bottom"/>
              </w:tcPr>
              <w:p w:rsidR="001124D6" w:rsidRDefault="00880550">
                <w:pPr>
                  <w:rPr>
                    <w:rFonts w:ascii="Arial"/>
                    <w:color w:val="000000"/>
                    <w:sz w:val="20"/>
                  </w:rPr>
                </w:pPr>
                <w:r>
                  <w:rPr>
                    <w:rFonts w:ascii="Arial"/>
                    <w:color w:val="000000"/>
                    <w:sz w:val="20"/>
                  </w:rPr>
                  <w:t>%</w:t>
                </w:r>
              </w:p>
            </w:tc>
            <w:tc>
              <w:tcPr>
                <w:tcW w:w="11" w:type="pct"/>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pPr>
                  <w:rPr>
                    <w:rFonts w:ascii="Arial"/>
                    <w:b/>
                    <w:color w:val="000000"/>
                    <w:sz w:val="20"/>
                  </w:rPr>
                </w:pPr>
                <w:r>
                  <w:rPr>
                    <w:rFonts w:ascii="Arial"/>
                    <w:b/>
                    <w:color w:val="000000"/>
                    <w:sz w:val="20"/>
                  </w:rPr>
                  <w:t>$</w:t>
                </w:r>
              </w:p>
            </w:tc>
            <w:tc>
              <w:tcPr>
                <w:tcW w:w="386" w:type="pct"/>
                <w:shd w:val="clear" w:color="auto" w:fill="auto"/>
                <w:noWrap/>
                <w:tcMar>
                  <w:top w:w="15" w:type="dxa"/>
                  <w:left w:w="0" w:type="dxa"/>
                  <w:bottom w:w="0" w:type="dxa"/>
                  <w:right w:w="15" w:type="dxa"/>
                </w:tcMar>
                <w:vAlign w:val="bottom"/>
              </w:tcPr>
              <w:p w:rsidR="001124D6" w:rsidRDefault="00880550">
                <w:pPr>
                  <w:jc w:val="right"/>
                  <w:rPr>
                    <w:rFonts w:ascii="Arial"/>
                    <w:b/>
                    <w:color w:val="000000"/>
                    <w:sz w:val="20"/>
                  </w:rPr>
                </w:pPr>
                <w:r>
                  <w:rPr>
                    <w:rFonts w:ascii="Arial"/>
                    <w:b/>
                    <w:color w:val="000000"/>
                    <w:sz w:val="20"/>
                  </w:rPr>
                  <w:t>208,244</w:t>
                </w:r>
              </w:p>
            </w:tc>
            <w:tc>
              <w:tcPr>
                <w:tcW w:w="101" w:type="pct"/>
                <w:gridSpan w:val="2"/>
                <w:shd w:val="clear" w:color="auto" w:fill="auto"/>
                <w:noWrap/>
                <w:tcMar>
                  <w:top w:w="15" w:type="dxa"/>
                  <w:left w:w="0" w:type="dxa"/>
                  <w:bottom w:w="0" w:type="dxa"/>
                  <w:right w:w="15" w:type="dxa"/>
                </w:tcMar>
                <w:vAlign w:val="bottom"/>
              </w:tcPr>
              <w:p w:rsidR="001124D6" w:rsidRDefault="00880550">
                <w:pPr>
                  <w:rPr>
                    <w:rFonts w:ascii="Arial"/>
                    <w:b/>
                    <w:color w:val="000000"/>
                    <w:sz w:val="20"/>
                  </w:rPr>
                </w:pPr>
                <w:r>
                  <w:rPr>
                    <w:rFonts w:ascii="Arial"/>
                    <w:b/>
                    <w:color w:val="000000"/>
                    <w:sz w:val="20"/>
                  </w:rPr>
                  <w:t xml:space="preserve"> </w:t>
                </w:r>
              </w:p>
            </w:tc>
            <w:tc>
              <w:tcPr>
                <w:tcW w:w="11" w:type="pct"/>
                <w:gridSpan w:val="2"/>
                <w:shd w:val="clear" w:color="auto" w:fill="auto"/>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66" w:type="pct"/>
                <w:gridSpan w:val="2"/>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w:t>
                </w:r>
              </w:p>
            </w:tc>
            <w:tc>
              <w:tcPr>
                <w:tcW w:w="426" w:type="pct"/>
                <w:shd w:val="clear" w:color="auto" w:fill="auto"/>
                <w:noWrap/>
                <w:tcMar>
                  <w:top w:w="15" w:type="dxa"/>
                  <w:left w:w="0" w:type="dxa"/>
                  <w:bottom w:w="0" w:type="dxa"/>
                  <w:right w:w="15" w:type="dxa"/>
                </w:tcMar>
                <w:vAlign w:val="bottom"/>
              </w:tcPr>
              <w:p w:rsidR="001124D6" w:rsidRDefault="00880550" w:rsidP="003166AD">
                <w:pPr>
                  <w:jc w:val="right"/>
                  <w:rPr>
                    <w:rFonts w:ascii="Arial"/>
                    <w:b/>
                    <w:color w:val="000000"/>
                    <w:sz w:val="20"/>
                  </w:rPr>
                </w:pPr>
                <w:r>
                  <w:rPr>
                    <w:rFonts w:ascii="Arial"/>
                    <w:b/>
                    <w:color w:val="000000"/>
                    <w:sz w:val="20"/>
                  </w:rPr>
                  <w:t>159,734</w:t>
                </w:r>
              </w:p>
            </w:tc>
            <w:tc>
              <w:tcPr>
                <w:tcW w:w="101"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20"/>
                  </w:rPr>
                </w:pPr>
                <w:r>
                  <w:rPr>
                    <w:rFonts w:ascii="Arial"/>
                    <w:b/>
                    <w:color w:val="000000"/>
                    <w:sz w:val="20"/>
                  </w:rPr>
                  <w:t xml:space="preserve"> </w:t>
                </w:r>
              </w:p>
            </w:tc>
            <w:tc>
              <w:tcPr>
                <w:tcW w:w="17" w:type="pct"/>
                <w:shd w:val="clear" w:color="auto" w:fill="auto"/>
                <w:tcMar>
                  <w:top w:w="15" w:type="dxa"/>
                  <w:left w:w="0" w:type="dxa"/>
                  <w:bottom w:w="0" w:type="dxa"/>
                  <w:right w:w="15" w:type="dxa"/>
                </w:tcMar>
                <w:vAlign w:val="bottom"/>
              </w:tcPr>
              <w:p w:rsidR="001124D6" w:rsidRDefault="00880550" w:rsidP="003166AD">
                <w:pPr>
                  <w:rPr>
                    <w:rFonts w:ascii="Arial"/>
                    <w:color w:val="000000"/>
                    <w:sz w:val="20"/>
                  </w:rPr>
                </w:pPr>
                <w:r>
                  <w:rPr>
                    <w:rFonts w:ascii="Arial"/>
                    <w:color w:val="000000"/>
                    <w:sz w:val="20"/>
                  </w:rPr>
                  <w:t xml:space="preserve"> </w:t>
                </w:r>
              </w:p>
            </w:tc>
            <w:tc>
              <w:tcPr>
                <w:tcW w:w="55" w:type="pct"/>
                <w:gridSpan w:val="2"/>
                <w:shd w:val="clear" w:color="auto" w:fill="auto"/>
                <w:noWrap/>
                <w:tcMar>
                  <w:top w:w="15" w:type="dxa"/>
                  <w:left w:w="0" w:type="dxa"/>
                  <w:bottom w:w="0" w:type="dxa"/>
                  <w:right w:w="15" w:type="dxa"/>
                </w:tcMar>
                <w:vAlign w:val="bottom"/>
              </w:tcPr>
              <w:p w:rsidR="001124D6" w:rsidRDefault="00880550">
                <w:pPr>
                  <w:rPr>
                    <w:rFonts w:ascii="Arial"/>
                    <w:color w:val="000000"/>
                    <w:sz w:val="20"/>
                  </w:rPr>
                </w:pPr>
                <w:r>
                  <w:rPr>
                    <w:rFonts w:ascii="Arial"/>
                    <w:color w:val="000000"/>
                    <w:sz w:val="20"/>
                  </w:rPr>
                  <w:t xml:space="preserve"> </w:t>
                </w:r>
              </w:p>
            </w:tc>
            <w:tc>
              <w:tcPr>
                <w:tcW w:w="331"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20"/>
                  </w:rPr>
                </w:pPr>
                <w:r>
                  <w:rPr>
                    <w:rFonts w:ascii="Arial"/>
                    <w:color w:val="000000"/>
                    <w:sz w:val="20"/>
                  </w:rPr>
                  <w:t>+30.4</w:t>
                </w:r>
              </w:p>
            </w:tc>
            <w:tc>
              <w:tcPr>
                <w:tcW w:w="137" w:type="pct"/>
                <w:gridSpan w:val="2"/>
                <w:shd w:val="clear" w:color="auto" w:fill="auto"/>
                <w:noWrap/>
                <w:tcMar>
                  <w:top w:w="15" w:type="dxa"/>
                  <w:left w:w="0" w:type="dxa"/>
                  <w:bottom w:w="0" w:type="dxa"/>
                  <w:right w:w="15" w:type="dxa"/>
                </w:tcMar>
                <w:vAlign w:val="bottom"/>
              </w:tcPr>
              <w:p w:rsidR="001124D6" w:rsidRDefault="00880550">
                <w:pPr>
                  <w:rPr>
                    <w:rFonts w:ascii="Arial"/>
                    <w:color w:val="000000"/>
                    <w:sz w:val="20"/>
                  </w:rPr>
                </w:pPr>
                <w:r>
                  <w:rPr>
                    <w:rFonts w:ascii="Arial"/>
                    <w:color w:val="000000"/>
                    <w:sz w:val="20"/>
                  </w:rPr>
                  <w:t>%</w:t>
                </w:r>
              </w:p>
            </w:tc>
          </w:tr>
        </w:tbl>
      </w:sdtContent>
    </w:sdt>
    <w:p w:rsidR="000956EA" w:rsidRPr="00944150" w:rsidRDefault="00E05E0E" w:rsidP="000956EA">
      <w:pPr>
        <w:rPr>
          <w:sz w:val="4"/>
          <w:szCs w:val="4"/>
        </w:rPr>
      </w:pPr>
    </w:p>
    <w:tbl>
      <w:tblPr>
        <w:tblStyle w:val="TableGrid"/>
        <w:tblW w:w="665" w:type="pct"/>
        <w:tblBorders>
          <w:top w:val="nil"/>
          <w:left w:val="nil"/>
          <w:bottom w:val="nil"/>
          <w:right w:val="nil"/>
          <w:insideH w:val="nil"/>
          <w:insideV w:val="nil"/>
        </w:tblBorders>
        <w:tblCellMar>
          <w:left w:w="0" w:type="dxa"/>
          <w:right w:w="14" w:type="dxa"/>
        </w:tblCellMar>
        <w:tblLook w:val="04A0" w:firstRow="1" w:lastRow="0" w:firstColumn="1" w:lastColumn="0" w:noHBand="0" w:noVBand="1"/>
      </w:tblPr>
      <w:tblGrid>
        <w:gridCol w:w="1247"/>
      </w:tblGrid>
      <w:tr w:rsidR="000E308C" w:rsidTr="000956EA">
        <w:trPr>
          <w:cantSplit/>
        </w:trPr>
        <w:tc>
          <w:tcPr>
            <w:tcW w:w="5000" w:type="pct"/>
            <w:tcBorders>
              <w:bottom w:val="single" w:sz="4" w:space="0" w:color="auto"/>
            </w:tcBorders>
            <w:noWrap/>
            <w:vAlign w:val="bottom"/>
          </w:tcPr>
          <w:p w:rsidR="000956EA" w:rsidRPr="00563FA6" w:rsidRDefault="00E05E0E" w:rsidP="000956EA">
            <w:pPr>
              <w:keepNext/>
              <w:rPr>
                <w:sz w:val="12"/>
                <w:szCs w:val="12"/>
              </w:rPr>
            </w:pPr>
          </w:p>
        </w:tc>
      </w:tr>
    </w:tbl>
    <w:p w:rsidR="000956EA" w:rsidRPr="00A0064D" w:rsidRDefault="00880550" w:rsidP="000956EA">
      <w:pPr>
        <w:numPr>
          <w:ilvl w:val="0"/>
          <w:numId w:val="1"/>
        </w:numPr>
        <w:shd w:val="clear" w:color="auto" w:fill="FFFFFF"/>
        <w:tabs>
          <w:tab w:val="left" w:pos="360"/>
        </w:tabs>
        <w:ind w:left="360" w:hanging="360"/>
        <w:rPr>
          <w:rFonts w:ascii="Arial" w:hAnsi="Arial" w:cs="Arial"/>
          <w:sz w:val="18"/>
        </w:rPr>
      </w:pPr>
      <w:r w:rsidRPr="00A0064D">
        <w:rPr>
          <w:rFonts w:ascii="Arial" w:hAnsi="Arial" w:cs="Arial"/>
          <w:sz w:val="18"/>
        </w:rPr>
        <w:t>Definitions and disclosures regarding non-GAAP financial information are included on page 5, while reconciliations are included on page 9.</w:t>
      </w:r>
    </w:p>
    <w:p w:rsidR="000956EA" w:rsidRPr="00A0064D" w:rsidRDefault="00880550" w:rsidP="000956EA">
      <w:pPr>
        <w:numPr>
          <w:ilvl w:val="0"/>
          <w:numId w:val="1"/>
        </w:numPr>
        <w:tabs>
          <w:tab w:val="left" w:pos="360"/>
        </w:tabs>
        <w:ind w:left="360" w:hanging="360"/>
        <w:rPr>
          <w:rFonts w:ascii="Arial" w:hAnsi="Arial" w:cs="Arial"/>
          <w:sz w:val="18"/>
        </w:rPr>
      </w:pPr>
      <w:r w:rsidRPr="00A0064D">
        <w:rPr>
          <w:rFonts w:ascii="Arial" w:hAnsi="Arial" w:cs="Arial"/>
          <w:sz w:val="18"/>
        </w:rPr>
        <w:t>Broadcast cash flow margin is broadcast cash flow as a percentage of net revenue.  Adjusted EBITDA margin is Adjusted EBITDA as a percentage of net revenue.</w:t>
      </w:r>
    </w:p>
    <w:p w:rsidR="00033338" w:rsidRDefault="00880550" w:rsidP="000956EA">
      <w:pPr>
        <w:jc w:val="center"/>
        <w:rPr>
          <w:rFonts w:ascii="Arial" w:hAnsi="Arial" w:cs="Arial"/>
          <w:sz w:val="22"/>
        </w:rPr>
        <w:sectPr w:rsidR="00033338" w:rsidSect="0044662A">
          <w:type w:val="continuous"/>
          <w:pgSz w:w="12240" w:h="15840"/>
          <w:pgMar w:top="547" w:right="1440" w:bottom="547" w:left="1440" w:header="0" w:footer="0" w:gutter="0"/>
          <w:cols w:space="720"/>
          <w:docGrid w:linePitch="360"/>
        </w:sectPr>
      </w:pPr>
      <w:r>
        <w:rPr>
          <w:rFonts w:ascii="Arial" w:hAnsi="Arial" w:cs="Arial"/>
          <w:sz w:val="22"/>
        </w:rPr>
        <w:t>-</w:t>
      </w:r>
      <w:proofErr w:type="gramStart"/>
      <w:r>
        <w:rPr>
          <w:rFonts w:ascii="Arial" w:hAnsi="Arial" w:cs="Arial"/>
          <w:sz w:val="22"/>
        </w:rPr>
        <w:t>more</w:t>
      </w:r>
      <w:proofErr w:type="gramEnd"/>
      <w:r>
        <w:rPr>
          <w:rFonts w:ascii="Arial" w:hAnsi="Arial" w:cs="Arial"/>
          <w:sz w:val="22"/>
        </w:rPr>
        <w:t>-</w:t>
      </w:r>
    </w:p>
    <w:p w:rsidR="002812C9" w:rsidRDefault="00880550" w:rsidP="002812C9">
      <w:pPr>
        <w:spacing w:line="264" w:lineRule="auto"/>
        <w:rPr>
          <w:rFonts w:ascii="Arial" w:hAnsi="Arial" w:cs="Arial"/>
          <w:sz w:val="22"/>
        </w:rPr>
      </w:pPr>
      <w:r>
        <w:rPr>
          <w:rFonts w:ascii="Arial" w:hAnsi="Arial" w:cs="Arial"/>
          <w:b/>
          <w:bCs/>
          <w:sz w:val="22"/>
        </w:rPr>
        <w:lastRenderedPageBreak/>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2</w:t>
      </w:r>
    </w:p>
    <w:p w:rsidR="002812C9" w:rsidRDefault="00E05E0E" w:rsidP="002812C9">
      <w:pPr>
        <w:pStyle w:val="Heading4"/>
        <w:spacing w:line="264" w:lineRule="auto"/>
        <w:rPr>
          <w:rFonts w:cs="Arial"/>
          <w:b w:val="0"/>
          <w:color w:val="000000"/>
          <w:sz w:val="18"/>
        </w:rPr>
      </w:pPr>
    </w:p>
    <w:p w:rsidR="002812C9" w:rsidRDefault="00880550" w:rsidP="002812C9">
      <w:pPr>
        <w:pStyle w:val="Heading4"/>
        <w:spacing w:line="264" w:lineRule="auto"/>
        <w:rPr>
          <w:rFonts w:cs="Arial"/>
          <w:bCs/>
        </w:rPr>
      </w:pPr>
      <w:r>
        <w:rPr>
          <w:rFonts w:cs="Arial"/>
          <w:bCs/>
        </w:rPr>
        <w:t>CEO Comment</w:t>
      </w:r>
    </w:p>
    <w:p w:rsidR="00837883" w:rsidRPr="00837883" w:rsidRDefault="00880550" w:rsidP="00837883">
      <w:pPr>
        <w:spacing w:line="264" w:lineRule="auto"/>
        <w:jc w:val="both"/>
        <w:rPr>
          <w:rFonts w:ascii="Arial" w:hAnsi="Arial" w:cs="Arial"/>
          <w:color w:val="000000"/>
          <w:sz w:val="22"/>
          <w:szCs w:val="22"/>
        </w:rPr>
      </w:pPr>
      <w:r w:rsidRPr="007263EE">
        <w:rPr>
          <w:rFonts w:ascii="Arial" w:hAnsi="Arial" w:cs="Arial"/>
          <w:color w:val="000000"/>
          <w:sz w:val="22"/>
          <w:szCs w:val="22"/>
        </w:rPr>
        <w:t xml:space="preserve">Perry A. Sook, Chairman, President and Chief Executive Officer of Nexstar Broadcasting Group, Inc. commented, “Nexstar’s strong fourth quarter and full year financial results mark the conclusion of another successful and active year of growth for the Company.  Nexstar generated record fourth quarter and full year revenue, </w:t>
      </w:r>
      <w:proofErr w:type="spellStart"/>
      <w:r w:rsidRPr="007263EE">
        <w:rPr>
          <w:rFonts w:ascii="Arial" w:hAnsi="Arial" w:cs="Arial"/>
          <w:color w:val="000000"/>
          <w:sz w:val="22"/>
          <w:szCs w:val="22"/>
        </w:rPr>
        <w:t>BCF</w:t>
      </w:r>
      <w:proofErr w:type="spellEnd"/>
      <w:r w:rsidRPr="007263EE">
        <w:rPr>
          <w:rFonts w:ascii="Arial" w:hAnsi="Arial" w:cs="Arial"/>
          <w:color w:val="000000"/>
          <w:sz w:val="22"/>
          <w:szCs w:val="22"/>
        </w:rPr>
        <w:t xml:space="preserve">, Adjusted EBITDA and free cash flow, all of which exceeded consensus expectations.  </w:t>
      </w:r>
      <w:r>
        <w:rPr>
          <w:rFonts w:ascii="Arial" w:hAnsi="Arial" w:cs="Arial"/>
          <w:color w:val="000000"/>
          <w:sz w:val="22"/>
          <w:szCs w:val="22"/>
        </w:rPr>
        <w:t>During 2015, we completed or entered into agreements to strategically expand our operating base, in accretive transactions, to 104 full power stations while driving robust retransmission distribution fee and digital media revenue growth.  In addition, we returned over $2.34 per share to shareholders in 2015 through quarterly cash dividends and opportunistic share repurchases while lowering our leverage ratio from year-end 2014 levels.</w:t>
      </w:r>
    </w:p>
    <w:p w:rsidR="00837883" w:rsidRPr="00837883" w:rsidRDefault="00E05E0E" w:rsidP="00837883">
      <w:pPr>
        <w:spacing w:line="264" w:lineRule="auto"/>
        <w:jc w:val="both"/>
        <w:rPr>
          <w:rFonts w:ascii="Arial" w:hAnsi="Arial" w:cs="Arial"/>
          <w:color w:val="000000"/>
          <w:sz w:val="22"/>
          <w:szCs w:val="22"/>
        </w:rPr>
      </w:pPr>
    </w:p>
    <w:p w:rsidR="006A1F08" w:rsidRDefault="00880550" w:rsidP="009B5ED1">
      <w:pPr>
        <w:spacing w:line="264" w:lineRule="auto"/>
        <w:jc w:val="both"/>
        <w:rPr>
          <w:rFonts w:ascii="Arial" w:hAnsi="Arial" w:cs="Arial"/>
          <w:color w:val="000000"/>
          <w:sz w:val="22"/>
          <w:szCs w:val="22"/>
        </w:rPr>
      </w:pPr>
      <w:r w:rsidRPr="00837883">
        <w:rPr>
          <w:rFonts w:ascii="Arial" w:hAnsi="Arial" w:cs="Arial"/>
          <w:color w:val="000000"/>
          <w:sz w:val="22"/>
          <w:szCs w:val="22"/>
        </w:rPr>
        <w:t xml:space="preserve">“With 2015 actual free cash flow of approximately $6.80 per share, our near- and long-term path to growth and the enhancement of shareholder value </w:t>
      </w:r>
      <w:proofErr w:type="gramStart"/>
      <w:r w:rsidRPr="00837883">
        <w:rPr>
          <w:rFonts w:ascii="Arial" w:hAnsi="Arial" w:cs="Arial"/>
          <w:color w:val="000000"/>
          <w:sz w:val="22"/>
          <w:szCs w:val="22"/>
        </w:rPr>
        <w:t>remains</w:t>
      </w:r>
      <w:proofErr w:type="gramEnd"/>
      <w:r w:rsidRPr="00837883">
        <w:rPr>
          <w:rFonts w:ascii="Arial" w:hAnsi="Arial" w:cs="Arial"/>
          <w:color w:val="000000"/>
          <w:sz w:val="22"/>
          <w:szCs w:val="22"/>
        </w:rPr>
        <w:t xml:space="preserve"> on plan and we will achieve our fifth consecutive year of record financial results in 2016.  Nexstar’s 2016 financial growth will reflect our expanded scale, new operating efficiencies and synergies related to recent and to-be-completed acquisitions, the 2015 renewal of a significant number of retransmission consent agreements, an expansion of our digital media initiatives and the return of the political cycle and highly rated special event programming such as the Rio 2016 summer Olympics.</w:t>
      </w:r>
    </w:p>
    <w:p w:rsidR="006A1F08" w:rsidRDefault="00E05E0E" w:rsidP="009B5ED1">
      <w:pPr>
        <w:spacing w:line="264" w:lineRule="auto"/>
        <w:jc w:val="both"/>
        <w:rPr>
          <w:rFonts w:ascii="Arial" w:hAnsi="Arial" w:cs="Arial"/>
          <w:color w:val="000000"/>
          <w:sz w:val="22"/>
          <w:szCs w:val="22"/>
        </w:rPr>
      </w:pPr>
    </w:p>
    <w:p w:rsidR="00E133E4" w:rsidRDefault="00880550" w:rsidP="00B0430E">
      <w:pPr>
        <w:spacing w:line="264" w:lineRule="auto"/>
        <w:jc w:val="both"/>
        <w:rPr>
          <w:rFonts w:ascii="Arial" w:hAnsi="Arial" w:cs="Arial"/>
          <w:color w:val="000000"/>
          <w:sz w:val="22"/>
          <w:szCs w:val="22"/>
        </w:rPr>
      </w:pPr>
      <w:r>
        <w:rPr>
          <w:rFonts w:ascii="Arial" w:hAnsi="Arial" w:cs="Arial"/>
          <w:color w:val="000000"/>
          <w:sz w:val="22"/>
          <w:szCs w:val="22"/>
        </w:rPr>
        <w:t>“Reflecting these factors, we are initiating</w:t>
      </w:r>
      <w:r w:rsidRPr="006003BB">
        <w:rPr>
          <w:rFonts w:ascii="Arial" w:hAnsi="Arial" w:cs="Arial"/>
          <w:color w:val="000000"/>
          <w:sz w:val="22"/>
          <w:szCs w:val="22"/>
        </w:rPr>
        <w:t xml:space="preserve"> a pro-forma 2016/2017 free cash flow projection for </w:t>
      </w:r>
      <w:r w:rsidR="00F926C4">
        <w:rPr>
          <w:rFonts w:ascii="Arial" w:hAnsi="Arial" w:cs="Arial"/>
          <w:color w:val="000000"/>
          <w:sz w:val="22"/>
          <w:szCs w:val="22"/>
        </w:rPr>
        <w:t xml:space="preserve">legacy </w:t>
      </w:r>
      <w:r w:rsidRPr="006003BB">
        <w:rPr>
          <w:rFonts w:ascii="Arial" w:hAnsi="Arial" w:cs="Arial"/>
          <w:color w:val="000000"/>
          <w:sz w:val="22"/>
          <w:szCs w:val="22"/>
        </w:rPr>
        <w:t xml:space="preserve">Nexstar of approximately </w:t>
      </w:r>
      <w:r w:rsidR="00B0430E" w:rsidRPr="00D61CCE">
        <w:rPr>
          <w:rFonts w:ascii="Arial" w:hAnsi="Arial" w:cs="Arial"/>
          <w:color w:val="000000"/>
          <w:sz w:val="22"/>
          <w:szCs w:val="22"/>
        </w:rPr>
        <w:t>$</w:t>
      </w:r>
      <w:r w:rsidR="00B0430E">
        <w:rPr>
          <w:rFonts w:ascii="Arial" w:hAnsi="Arial" w:cs="Arial"/>
          <w:color w:val="000000"/>
          <w:sz w:val="22"/>
          <w:szCs w:val="22"/>
        </w:rPr>
        <w:t>250</w:t>
      </w:r>
      <w:r w:rsidR="00B0430E" w:rsidRPr="00D61CCE">
        <w:rPr>
          <w:rFonts w:ascii="Arial" w:hAnsi="Arial" w:cs="Arial"/>
          <w:color w:val="000000"/>
          <w:sz w:val="22"/>
          <w:szCs w:val="22"/>
        </w:rPr>
        <w:t xml:space="preserve"> million of average annual free cash flow</w:t>
      </w:r>
      <w:r w:rsidRPr="006003BB">
        <w:rPr>
          <w:rFonts w:ascii="Arial" w:hAnsi="Arial" w:cs="Arial"/>
          <w:color w:val="000000"/>
          <w:sz w:val="22"/>
          <w:szCs w:val="22"/>
        </w:rPr>
        <w:t>, or average pro-forma free cash flow of approximately $8.15 per share per year.</w:t>
      </w:r>
      <w:r>
        <w:rPr>
          <w:rFonts w:ascii="Arial" w:hAnsi="Arial" w:cs="Arial"/>
          <w:color w:val="000000"/>
          <w:sz w:val="22"/>
          <w:szCs w:val="22"/>
        </w:rPr>
        <w:t xml:space="preserve">  Our disciplined operating and cost management practices, revenue diversification initiatives and the success we are achieving in identifying, financing and integrating accretive acquisitions all contribute to Nexstar’s consistent industry out-performance. With our long-term strategic focus on completing accretive transactions that expand our scale and free cash flow growth, we were delighted to announce last month that we reached a definitive agreement to acquire Media General.  The combined entity will be named Nexstar Media Group to highlight our broadened base of local operations and capabilities as the transaction will increase Nexstar’s broadcast portfolio by approximately two thirds and more than double our audience reach while presenting opportunities related to the increased scale and complementary nature of the combined digital media operations which we intend to aggressively manage to profitability.</w:t>
      </w:r>
    </w:p>
    <w:p w:rsidR="00E133E4" w:rsidRDefault="00E05E0E" w:rsidP="002B21A0">
      <w:pPr>
        <w:spacing w:line="264" w:lineRule="auto"/>
        <w:jc w:val="both"/>
        <w:rPr>
          <w:rFonts w:ascii="Arial" w:hAnsi="Arial" w:cs="Arial"/>
          <w:color w:val="000000"/>
          <w:sz w:val="22"/>
          <w:szCs w:val="22"/>
        </w:rPr>
      </w:pPr>
    </w:p>
    <w:p w:rsidR="003C06CB" w:rsidRDefault="00880550" w:rsidP="002B21A0">
      <w:pPr>
        <w:spacing w:line="264" w:lineRule="auto"/>
        <w:jc w:val="both"/>
        <w:rPr>
          <w:rFonts w:ascii="Arial" w:hAnsi="Arial" w:cs="Arial"/>
          <w:color w:val="000000"/>
          <w:sz w:val="22"/>
          <w:szCs w:val="22"/>
        </w:rPr>
      </w:pPr>
      <w:r w:rsidRPr="00D61CCE">
        <w:rPr>
          <w:rFonts w:ascii="Arial" w:hAnsi="Arial" w:cs="Arial"/>
          <w:color w:val="000000"/>
          <w:sz w:val="22"/>
          <w:szCs w:val="22"/>
        </w:rPr>
        <w:t xml:space="preserve">“Financially, the Media General transaction is expected to more than double our revenue and adjusted </w:t>
      </w:r>
      <w:proofErr w:type="gramStart"/>
      <w:r w:rsidRPr="00D61CCE">
        <w:rPr>
          <w:rFonts w:ascii="Arial" w:hAnsi="Arial" w:cs="Arial"/>
          <w:color w:val="000000"/>
          <w:sz w:val="22"/>
          <w:szCs w:val="22"/>
        </w:rPr>
        <w:t>EBITDA,</w:t>
      </w:r>
      <w:proofErr w:type="gramEnd"/>
      <w:r w:rsidRPr="00D61CCE">
        <w:rPr>
          <w:rFonts w:ascii="Arial" w:hAnsi="Arial" w:cs="Arial"/>
          <w:color w:val="000000"/>
          <w:sz w:val="22"/>
          <w:szCs w:val="22"/>
        </w:rPr>
        <w:t xml:space="preserve"> will be immediately accretive upon closing and will result in over $500 million of average annual free cash flow which we intend to allocate to leverage reduction, additional strategic growth investments and the return of capital to shareholders</w:t>
      </w:r>
      <w:r>
        <w:rPr>
          <w:rFonts w:ascii="Arial" w:hAnsi="Arial" w:cs="Arial"/>
          <w:color w:val="000000"/>
          <w:sz w:val="22"/>
          <w:szCs w:val="22"/>
        </w:rPr>
        <w:t>.  Nexstar Media Group’s annual free cash flow per share is expected to approximate $11.15 per year over the 2016/2017 period, and we initially plan to allocate free cash flow to leverage reduction with a target of approximately 4.5x covenant leverage by year end 2016 – a level only slightly higher than where we ended 2015. Nexstar has committed financing for the transaction and has made all required FCC and other regulatory applications, and subject to securing approvals we expect</w:t>
      </w:r>
      <w:r w:rsidRPr="003C06CB">
        <w:rPr>
          <w:rFonts w:ascii="Arial" w:hAnsi="Arial" w:cs="Arial"/>
          <w:color w:val="000000"/>
          <w:sz w:val="22"/>
          <w:szCs w:val="22"/>
        </w:rPr>
        <w:t xml:space="preserve"> to complete the transaction late in the third quarter/early in the fourth quarter of 2016</w:t>
      </w:r>
      <w:r>
        <w:rPr>
          <w:rFonts w:ascii="Arial" w:hAnsi="Arial" w:cs="Arial"/>
          <w:color w:val="000000"/>
          <w:sz w:val="22"/>
          <w:szCs w:val="22"/>
        </w:rPr>
        <w:t xml:space="preserve">. </w:t>
      </w:r>
    </w:p>
    <w:p w:rsidR="002F3F35" w:rsidRDefault="00E05E0E" w:rsidP="002F3F35">
      <w:pPr>
        <w:jc w:val="center"/>
        <w:rPr>
          <w:rFonts w:ascii="Arial" w:hAnsi="Arial" w:cs="Arial"/>
          <w:sz w:val="22"/>
        </w:rPr>
      </w:pPr>
    </w:p>
    <w:p w:rsidR="002F3F35" w:rsidRDefault="00880550" w:rsidP="002F3F35">
      <w:pPr>
        <w:jc w:val="center"/>
        <w:rPr>
          <w:rFonts w:ascii="Arial" w:hAnsi="Arial" w:cs="Arial"/>
          <w:sz w:val="22"/>
        </w:rPr>
        <w:sectPr w:rsidR="002F3F35" w:rsidSect="002F3F35">
          <w:pgSz w:w="12240" w:h="15840"/>
          <w:pgMar w:top="547" w:right="1440" w:bottom="547" w:left="1440" w:header="0" w:footer="0" w:gutter="0"/>
          <w:cols w:space="720"/>
          <w:docGrid w:linePitch="360"/>
        </w:sectPr>
      </w:pPr>
      <w:r>
        <w:rPr>
          <w:rFonts w:ascii="Arial" w:hAnsi="Arial" w:cs="Arial"/>
          <w:sz w:val="22"/>
        </w:rPr>
        <w:t>-</w:t>
      </w:r>
      <w:proofErr w:type="gramStart"/>
      <w:r>
        <w:rPr>
          <w:rFonts w:ascii="Arial" w:hAnsi="Arial" w:cs="Arial"/>
          <w:sz w:val="22"/>
        </w:rPr>
        <w:t>more</w:t>
      </w:r>
      <w:proofErr w:type="gramEnd"/>
      <w:r>
        <w:rPr>
          <w:rFonts w:ascii="Arial" w:hAnsi="Arial" w:cs="Arial"/>
          <w:sz w:val="22"/>
        </w:rPr>
        <w:t>-</w:t>
      </w:r>
    </w:p>
    <w:p w:rsidR="001617A3" w:rsidRDefault="00E05E0E">
      <w:pPr>
        <w:rPr>
          <w:rFonts w:ascii="Arial" w:hAnsi="Arial" w:cs="Arial"/>
          <w:color w:val="000000"/>
          <w:sz w:val="22"/>
          <w:szCs w:val="22"/>
        </w:rPr>
      </w:pPr>
    </w:p>
    <w:p w:rsidR="007C0C8F" w:rsidRDefault="00880550" w:rsidP="007C0C8F">
      <w:pPr>
        <w:spacing w:line="264" w:lineRule="auto"/>
        <w:rPr>
          <w:rFonts w:ascii="Arial" w:hAnsi="Arial" w:cs="Arial"/>
          <w:sz w:val="22"/>
        </w:rPr>
      </w:pPr>
      <w:r>
        <w:rPr>
          <w:rFonts w:ascii="Arial" w:hAnsi="Arial" w:cs="Arial"/>
          <w:b/>
          <w:bCs/>
          <w:sz w:val="22"/>
        </w:rPr>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3</w:t>
      </w:r>
    </w:p>
    <w:p w:rsidR="007C0C8F" w:rsidRDefault="00880550" w:rsidP="007C0C8F">
      <w:pPr>
        <w:spacing w:line="264" w:lineRule="auto"/>
        <w:jc w:val="both"/>
        <w:rPr>
          <w:rFonts w:ascii="Arial" w:hAnsi="Arial" w:cs="Arial"/>
          <w:color w:val="000000"/>
          <w:sz w:val="22"/>
          <w:szCs w:val="22"/>
        </w:rPr>
      </w:pPr>
      <w:r>
        <w:rPr>
          <w:rFonts w:ascii="Arial" w:hAnsi="Arial" w:cs="Arial"/>
          <w:color w:val="000000"/>
          <w:sz w:val="22"/>
          <w:szCs w:val="22"/>
        </w:rPr>
        <w:t xml:space="preserve"> </w:t>
      </w:r>
    </w:p>
    <w:p w:rsidR="00971B46" w:rsidRDefault="00880550" w:rsidP="007C0C8F">
      <w:pPr>
        <w:spacing w:line="264" w:lineRule="auto"/>
        <w:jc w:val="both"/>
        <w:rPr>
          <w:rFonts w:ascii="Arial" w:hAnsi="Arial" w:cs="Arial"/>
          <w:color w:val="000000"/>
          <w:sz w:val="22"/>
          <w:szCs w:val="22"/>
        </w:rPr>
      </w:pPr>
      <w:r w:rsidRPr="00720B88">
        <w:rPr>
          <w:rFonts w:ascii="Arial" w:hAnsi="Arial" w:cs="Arial"/>
          <w:color w:val="000000"/>
          <w:sz w:val="22"/>
          <w:szCs w:val="22"/>
        </w:rPr>
        <w:t>“Fourth quarter results benefited from accretive station and digital media acquisitions completed in late 2014 and early 2015, our revenue diversification initiatives, and ongoing focus on building new local direct advertising.  Fourth quarter core ad revenue rose 33.1% which was complemented by an 85.1% rise in retransmission fee revenue and a 105.8% increase in digital media revenue which collectively more than offset the impact of a $27.5 million, or 77.7%, year-over-year reduction in political revenue.</w:t>
      </w:r>
    </w:p>
    <w:p w:rsidR="00971B46" w:rsidRPr="00720B88" w:rsidRDefault="00880550" w:rsidP="00971B46">
      <w:pPr>
        <w:spacing w:line="264" w:lineRule="auto"/>
        <w:jc w:val="both"/>
        <w:rPr>
          <w:rFonts w:ascii="Arial" w:hAnsi="Arial" w:cs="Arial"/>
          <w:color w:val="000000"/>
          <w:sz w:val="22"/>
          <w:szCs w:val="22"/>
        </w:rPr>
      </w:pPr>
      <w:r w:rsidRPr="00720B88">
        <w:rPr>
          <w:rFonts w:ascii="Arial" w:hAnsi="Arial" w:cs="Arial"/>
          <w:color w:val="000000"/>
          <w:sz w:val="22"/>
          <w:szCs w:val="22"/>
        </w:rPr>
        <w:t xml:space="preserve"> </w:t>
      </w:r>
    </w:p>
    <w:p w:rsidR="00971B46" w:rsidRPr="00720B88" w:rsidRDefault="00880550" w:rsidP="00C14778">
      <w:pPr>
        <w:spacing w:line="264" w:lineRule="auto"/>
        <w:jc w:val="both"/>
        <w:rPr>
          <w:rFonts w:ascii="Arial" w:hAnsi="Arial" w:cs="Arial"/>
          <w:color w:val="000000"/>
          <w:sz w:val="22"/>
          <w:szCs w:val="22"/>
        </w:rPr>
      </w:pPr>
      <w:r w:rsidRPr="00AE6FAC">
        <w:rPr>
          <w:rFonts w:ascii="Arial" w:hAnsi="Arial" w:cs="Arial"/>
          <w:color w:val="000000"/>
          <w:sz w:val="22"/>
          <w:szCs w:val="22"/>
        </w:rPr>
        <w:t>“In addition to the strong core ad revenue growth, total combined fourth quarter retransmission fee and digital media revenue rose 90.1% to $111.0 million, representing nearly 45% of 2015 fourth quarter net revenue.  By comparison, total fourth quarter retransmission fee and digital media revenue comprised 30.3% of total net revenues in the year-ago period and 24.2% of fourth quarter net revenue in 2013.</w:t>
      </w:r>
    </w:p>
    <w:p w:rsidR="00971B46" w:rsidRPr="00720B88" w:rsidRDefault="00E05E0E" w:rsidP="00971B46">
      <w:pPr>
        <w:spacing w:line="264" w:lineRule="auto"/>
        <w:jc w:val="both"/>
        <w:rPr>
          <w:rFonts w:ascii="Arial" w:hAnsi="Arial" w:cs="Arial"/>
          <w:color w:val="000000"/>
          <w:sz w:val="22"/>
          <w:szCs w:val="22"/>
        </w:rPr>
      </w:pPr>
    </w:p>
    <w:p w:rsidR="00971B46" w:rsidRDefault="00880550" w:rsidP="00971B46">
      <w:pPr>
        <w:spacing w:line="264" w:lineRule="auto"/>
        <w:jc w:val="both"/>
        <w:rPr>
          <w:rFonts w:ascii="Arial" w:hAnsi="Arial" w:cs="Arial"/>
          <w:color w:val="000000"/>
          <w:sz w:val="22"/>
          <w:szCs w:val="22"/>
        </w:rPr>
      </w:pPr>
      <w:r>
        <w:rPr>
          <w:rFonts w:ascii="Arial" w:hAnsi="Arial" w:cs="Arial"/>
          <w:color w:val="000000"/>
          <w:sz w:val="22"/>
        </w:rPr>
        <w:t xml:space="preserve">“The rise in fourth quarter station direct operating expenses (net of trade expense) and </w:t>
      </w:r>
      <w:proofErr w:type="spellStart"/>
      <w:r>
        <w:rPr>
          <w:rFonts w:ascii="Arial" w:hAnsi="Arial" w:cs="Arial"/>
          <w:color w:val="000000"/>
          <w:sz w:val="22"/>
        </w:rPr>
        <w:t>SG&amp;A</w:t>
      </w:r>
      <w:proofErr w:type="spellEnd"/>
      <w:r>
        <w:rPr>
          <w:rFonts w:ascii="Arial" w:hAnsi="Arial" w:cs="Arial"/>
          <w:color w:val="000000"/>
          <w:sz w:val="22"/>
        </w:rPr>
        <w:t xml:space="preserve"> primarily reflects higher variable costs related to the significant increase in core revenues and the operation of 33 stations acquired since late 2014.  The $2.7 million increase in corporate expense was consistent with our expectations and includes approximately $2.6 million in non-recurring expenses associated with professional fees and recently announced strategic transactions.  </w:t>
      </w:r>
      <w:r>
        <w:rPr>
          <w:rFonts w:ascii="Arial" w:hAnsi="Arial" w:cs="Arial"/>
          <w:color w:val="000000"/>
          <w:sz w:val="22"/>
          <w:szCs w:val="22"/>
        </w:rPr>
        <w:t>Notwithstanding these one-time expenses, fourth quarter adjusted EBITDA grew 8.6% while fourth quarter 2015 free cash flow was up 5.7% over the prior year despite the nearly $28 million decline in political revenue.</w:t>
      </w:r>
    </w:p>
    <w:p w:rsidR="00971B46" w:rsidRPr="00720B88" w:rsidRDefault="00E05E0E" w:rsidP="00971B46">
      <w:pPr>
        <w:spacing w:line="264" w:lineRule="auto"/>
        <w:jc w:val="both"/>
        <w:rPr>
          <w:rFonts w:ascii="Arial" w:hAnsi="Arial" w:cs="Arial"/>
          <w:color w:val="000000"/>
          <w:sz w:val="22"/>
          <w:szCs w:val="22"/>
        </w:rPr>
      </w:pPr>
    </w:p>
    <w:p w:rsidR="00BD5F44" w:rsidRDefault="00880550" w:rsidP="00BD5F44">
      <w:pPr>
        <w:spacing w:line="264" w:lineRule="auto"/>
        <w:jc w:val="both"/>
        <w:rPr>
          <w:rFonts w:ascii="Arial" w:hAnsi="Arial" w:cs="Arial"/>
          <w:color w:val="000000"/>
          <w:sz w:val="22"/>
          <w:szCs w:val="22"/>
        </w:rPr>
      </w:pPr>
      <w:r>
        <w:rPr>
          <w:rFonts w:ascii="Arial" w:hAnsi="Arial" w:cs="Arial"/>
          <w:color w:val="000000"/>
          <w:sz w:val="22"/>
          <w:szCs w:val="22"/>
        </w:rPr>
        <w:t>“Throughout 2015 and in the fourth quarter, Nexstar actively executed its long-term strategy to identify and structure accretive transactions that expand our operating and revenue base to drive free cash flow growth.  In November, Nexstar entered into a definitive agreement to acquire the assets of three CBS- and one NBC-affiliated television stations in West Virginia for $130.0 million in a transaction that is expected to be immediately accretive to Nexstar’s free cash flow upon closing later this year.  Earlier this year we completed another previously announced accretive acquisition of four CBS-affiliated stations in North Dakota.</w:t>
      </w:r>
    </w:p>
    <w:p w:rsidR="00BD5F44" w:rsidRDefault="00E05E0E" w:rsidP="00BD5F44">
      <w:pPr>
        <w:spacing w:line="264" w:lineRule="auto"/>
        <w:jc w:val="both"/>
        <w:rPr>
          <w:rFonts w:ascii="Arial" w:hAnsi="Arial" w:cs="Arial"/>
          <w:color w:val="000000"/>
          <w:sz w:val="22"/>
          <w:szCs w:val="22"/>
        </w:rPr>
      </w:pPr>
    </w:p>
    <w:p w:rsidR="002812C9" w:rsidRDefault="00880550" w:rsidP="006D0996">
      <w:pPr>
        <w:spacing w:line="264" w:lineRule="auto"/>
        <w:jc w:val="both"/>
        <w:rPr>
          <w:rFonts w:ascii="Arial" w:hAnsi="Arial" w:cs="Arial"/>
          <w:sz w:val="22"/>
          <w:szCs w:val="22"/>
        </w:rPr>
      </w:pPr>
      <w:r w:rsidRPr="006D0996">
        <w:rPr>
          <w:rFonts w:ascii="Arial" w:hAnsi="Arial" w:cs="Arial"/>
          <w:color w:val="000000"/>
          <w:sz w:val="22"/>
          <w:szCs w:val="22"/>
        </w:rPr>
        <w:t>“For Nexstar, the fourth quarter marked a strong end to what was already a record year of free cash flow.  As we begin to benefit from what are expected to be record levels of political advertising in 2016, the ongoing, staggered renewal of our retransmission consent agreements and completion of smaller transactions announced in the second half of 2015, we have excellent visibility to delivering on or exceeding our free cash flow targets and a clear path for the continued near- and long-term enhancement of shareholder value.</w:t>
      </w:r>
      <w:r w:rsidRPr="000C6F67">
        <w:t xml:space="preserve"> </w:t>
      </w:r>
      <w:r w:rsidRPr="006D0996">
        <w:rPr>
          <w:rFonts w:ascii="Arial" w:hAnsi="Arial" w:cs="Arial"/>
          <w:color w:val="000000"/>
          <w:sz w:val="22"/>
          <w:szCs w:val="22"/>
        </w:rPr>
        <w:t xml:space="preserve">With significant and growing free cash flow and the closing of </w:t>
      </w:r>
      <w:r>
        <w:rPr>
          <w:rFonts w:ascii="Arial" w:hAnsi="Arial" w:cs="Arial"/>
          <w:color w:val="000000"/>
          <w:sz w:val="22"/>
          <w:szCs w:val="22"/>
        </w:rPr>
        <w:t xml:space="preserve">the acquisition of </w:t>
      </w:r>
      <w:r w:rsidRPr="006D0996">
        <w:rPr>
          <w:rFonts w:ascii="Arial" w:hAnsi="Arial" w:cs="Arial"/>
          <w:color w:val="000000"/>
          <w:sz w:val="22"/>
          <w:szCs w:val="22"/>
        </w:rPr>
        <w:t>Media General</w:t>
      </w:r>
      <w:r>
        <w:rPr>
          <w:rFonts w:ascii="Arial" w:hAnsi="Arial" w:cs="Arial"/>
          <w:color w:val="000000"/>
          <w:sz w:val="22"/>
          <w:szCs w:val="22"/>
        </w:rPr>
        <w:t xml:space="preserve"> expected in late Q3/early Q4</w:t>
      </w:r>
      <w:r w:rsidRPr="000C6F67">
        <w:rPr>
          <w:rFonts w:ascii="Arial" w:hAnsi="Arial" w:cs="Arial"/>
          <w:color w:val="000000"/>
          <w:sz w:val="22"/>
          <w:szCs w:val="22"/>
        </w:rPr>
        <w:t>, Nexstar is positioned with the financial capacity and flexibility to reduce leverage while returning capital to shareholders and in January we announced a 26.3% increase in the amount of our quarterly cash dividend.”</w:t>
      </w:r>
    </w:p>
    <w:p w:rsidR="002812C9" w:rsidRDefault="00E05E0E" w:rsidP="002812C9">
      <w:pPr>
        <w:spacing w:line="264" w:lineRule="auto"/>
        <w:jc w:val="both"/>
        <w:rPr>
          <w:rFonts w:ascii="Arial" w:hAnsi="Arial" w:cs="Arial"/>
          <w:sz w:val="22"/>
          <w:szCs w:val="22"/>
        </w:rPr>
      </w:pPr>
    </w:p>
    <w:p w:rsidR="002812C9" w:rsidRPr="005C73E2" w:rsidRDefault="00880550" w:rsidP="002812C9">
      <w:pPr>
        <w:spacing w:line="264" w:lineRule="auto"/>
        <w:jc w:val="both"/>
        <w:rPr>
          <w:rFonts w:ascii="Arial" w:hAnsi="Arial" w:cs="Arial"/>
          <w:sz w:val="22"/>
          <w:szCs w:val="22"/>
        </w:rPr>
      </w:pPr>
      <w:r w:rsidRPr="005C73E2">
        <w:rPr>
          <w:rFonts w:ascii="Arial" w:hAnsi="Arial" w:cs="Arial"/>
          <w:sz w:val="22"/>
          <w:szCs w:val="22"/>
        </w:rPr>
        <w:t>The consolidated debt of Nexstar and its wholly owned subsidiaries, Mission Broadcasting, Inc. and Marshall Broadcasting Group, Inc. at December 31, 2015, was $1,476.2 million including senior secured debt of $684.2 million.  The Company’s total net leverage ratio at December 31, 2015 was 4.32x compared to a total permitted leverage covenant of 6.75x. The Company’s first lien net leverage ratio at December 31, 2015 was 1.94x compared to the covenant maximum of 4.00x.</w:t>
      </w:r>
    </w:p>
    <w:p w:rsidR="005406CA" w:rsidRDefault="00E05E0E" w:rsidP="000956EA">
      <w:pPr>
        <w:spacing w:line="264" w:lineRule="auto"/>
        <w:jc w:val="both"/>
        <w:rPr>
          <w:rFonts w:ascii="Arial" w:hAnsi="Arial" w:cs="Arial"/>
          <w:sz w:val="22"/>
        </w:rPr>
      </w:pPr>
    </w:p>
    <w:p w:rsidR="007B0CCA" w:rsidRDefault="00880550" w:rsidP="007B0CCA">
      <w:pPr>
        <w:jc w:val="center"/>
        <w:rPr>
          <w:rFonts w:ascii="Arial" w:hAnsi="Arial" w:cs="Arial"/>
          <w:sz w:val="22"/>
        </w:rPr>
        <w:sectPr w:rsidR="007B0CCA" w:rsidSect="007B0CCA">
          <w:pgSz w:w="12240" w:h="15840"/>
          <w:pgMar w:top="547" w:right="1440" w:bottom="547" w:left="1440" w:header="0" w:footer="0" w:gutter="0"/>
          <w:cols w:space="720"/>
          <w:docGrid w:linePitch="360"/>
        </w:sectPr>
      </w:pPr>
      <w:r>
        <w:rPr>
          <w:rFonts w:ascii="Arial" w:hAnsi="Arial" w:cs="Arial"/>
          <w:sz w:val="22"/>
        </w:rPr>
        <w:t>-</w:t>
      </w:r>
      <w:proofErr w:type="gramStart"/>
      <w:r>
        <w:rPr>
          <w:rFonts w:ascii="Arial" w:hAnsi="Arial" w:cs="Arial"/>
          <w:sz w:val="22"/>
        </w:rPr>
        <w:t>more</w:t>
      </w:r>
      <w:proofErr w:type="gramEnd"/>
      <w:r>
        <w:rPr>
          <w:rFonts w:ascii="Arial" w:hAnsi="Arial" w:cs="Arial"/>
          <w:sz w:val="22"/>
        </w:rPr>
        <w:t>-</w:t>
      </w:r>
    </w:p>
    <w:p w:rsidR="009867DB" w:rsidRDefault="00E05E0E">
      <w:pPr>
        <w:rPr>
          <w:rFonts w:ascii="Arial" w:hAnsi="Arial" w:cs="Arial"/>
          <w:b/>
          <w:bCs/>
          <w:sz w:val="22"/>
        </w:rPr>
      </w:pPr>
    </w:p>
    <w:p w:rsidR="009867DB" w:rsidRDefault="00880550" w:rsidP="009867DB">
      <w:pPr>
        <w:spacing w:line="264" w:lineRule="auto"/>
        <w:rPr>
          <w:rFonts w:ascii="Arial" w:hAnsi="Arial" w:cs="Arial"/>
          <w:sz w:val="22"/>
        </w:rPr>
      </w:pPr>
      <w:r>
        <w:rPr>
          <w:rFonts w:ascii="Arial" w:hAnsi="Arial" w:cs="Arial"/>
          <w:b/>
          <w:bCs/>
          <w:sz w:val="22"/>
        </w:rPr>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4</w:t>
      </w:r>
    </w:p>
    <w:p w:rsidR="009867DB" w:rsidRDefault="00E05E0E" w:rsidP="009867DB">
      <w:pPr>
        <w:spacing w:line="264" w:lineRule="auto"/>
        <w:rPr>
          <w:rFonts w:ascii="Arial" w:hAnsi="Arial" w:cs="Arial"/>
          <w:sz w:val="22"/>
        </w:rPr>
      </w:pPr>
    </w:p>
    <w:p w:rsidR="000956EA" w:rsidRDefault="00880550" w:rsidP="009867DB">
      <w:pPr>
        <w:spacing w:line="264" w:lineRule="auto"/>
        <w:rPr>
          <w:rFonts w:ascii="Arial" w:hAnsi="Arial" w:cs="Arial"/>
          <w:sz w:val="22"/>
        </w:rPr>
      </w:pPr>
      <w:r w:rsidRPr="00B338F9">
        <w:rPr>
          <w:rFonts w:ascii="Arial" w:hAnsi="Arial" w:cs="Arial"/>
          <w:sz w:val="22"/>
        </w:rPr>
        <w:t>The table below summarizes the Company’s debt obligations:</w:t>
      </w:r>
    </w:p>
    <w:p w:rsidR="000956EA" w:rsidRDefault="00E05E0E" w:rsidP="000956EA">
      <w:pPr>
        <w:spacing w:line="264" w:lineRule="auto"/>
        <w:jc w:val="both"/>
        <w:rPr>
          <w:rFonts w:ascii="Arial" w:hAnsi="Arial" w:cs="Arial"/>
          <w:sz w:val="22"/>
        </w:rPr>
      </w:pPr>
    </w:p>
    <w:sdt>
      <w:sdtPr>
        <w:alias w:val="AL-PR_Debt_Obligations - Nexstar_Mission_Marshall_Dec312015"/>
        <w:tag w:val="9acfe9a4-c674-4779-92f4-071052cf043b"/>
        <w:id w:val="7644282"/>
      </w:sdtPr>
      <w:sdtEndPr/>
      <w:sdtContent>
        <w:tbl>
          <w:tblPr>
            <w:tblStyle w:val="TableGrid"/>
            <w:tblW w:w="5000" w:type="pct"/>
            <w:jc w:val="center"/>
            <w:tblBorders>
              <w:top w:val="nil"/>
              <w:left w:val="nil"/>
              <w:bottom w:val="nil"/>
              <w:right w:val="nil"/>
              <w:insideH w:val="nil"/>
              <w:insideV w:val="nil"/>
            </w:tblBorders>
            <w:tblCellMar>
              <w:top w:w="15" w:type="dxa"/>
              <w:left w:w="0" w:type="dxa"/>
              <w:right w:w="15" w:type="dxa"/>
            </w:tblCellMar>
            <w:tblLook w:val="04A0" w:firstRow="1" w:lastRow="0" w:firstColumn="1" w:lastColumn="0" w:noHBand="0" w:noVBand="1"/>
          </w:tblPr>
          <w:tblGrid>
            <w:gridCol w:w="6348"/>
            <w:gridCol w:w="120"/>
            <w:gridCol w:w="139"/>
            <w:gridCol w:w="1162"/>
            <w:gridCol w:w="77"/>
            <w:gridCol w:w="120"/>
            <w:gridCol w:w="139"/>
            <w:gridCol w:w="1193"/>
            <w:gridCol w:w="77"/>
          </w:tblGrid>
          <w:tr w:rsidR="000E308C" w:rsidTr="004A7396">
            <w:trPr>
              <w:cantSplit/>
              <w:jc w:val="center"/>
            </w:trPr>
            <w:tc>
              <w:tcPr>
                <w:tcW w:w="3393" w:type="pct"/>
                <w:shd w:val="clear" w:color="auto" w:fill="auto"/>
                <w:tcMar>
                  <w:top w:w="15" w:type="dxa"/>
                  <w:left w:w="0" w:type="dxa"/>
                  <w:bottom w:w="0" w:type="dxa"/>
                  <w:right w:w="15" w:type="dxa"/>
                </w:tcMar>
                <w:vAlign w:val="bottom"/>
              </w:tcPr>
              <w:p w:rsidR="00690895" w:rsidRDefault="00880550">
                <w:pPr>
                  <w:keepNext/>
                  <w:jc w:val="center"/>
                  <w:rPr>
                    <w:rFonts w:ascii="Arial"/>
                    <w:color w:val="000000"/>
                  </w:rPr>
                </w:pPr>
                <w:r>
                  <w:rPr>
                    <w:rFonts w:ascii="Arial"/>
                    <w:color w:val="000000"/>
                    <w:sz w:val="22"/>
                  </w:rPr>
                  <w:t>($ in millions)</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679" w:type="pct"/>
                <w:gridSpan w:val="2"/>
                <w:shd w:val="clear" w:color="auto" w:fill="auto"/>
                <w:tcMar>
                  <w:top w:w="15" w:type="dxa"/>
                  <w:left w:w="0" w:type="dxa"/>
                  <w:bottom w:w="0" w:type="dxa"/>
                  <w:right w:w="15" w:type="dxa"/>
                </w:tcMar>
                <w:vAlign w:val="bottom"/>
              </w:tcPr>
              <w:p w:rsidR="00690895" w:rsidRDefault="00880550">
                <w:pPr>
                  <w:jc w:val="center"/>
                  <w:rPr>
                    <w:rFonts w:ascii="Arial"/>
                    <w:b/>
                    <w:color w:val="000000"/>
                  </w:rPr>
                </w:pPr>
                <w:r>
                  <w:rPr>
                    <w:rFonts w:ascii="Arial"/>
                    <w:b/>
                    <w:color w:val="000000"/>
                    <w:sz w:val="22"/>
                  </w:rPr>
                  <w:t>12/31/2015</w:t>
                </w:r>
              </w:p>
            </w:tc>
            <w:tc>
              <w:tcPr>
                <w:tcW w:w="50" w:type="pct"/>
                <w:shd w:val="clear" w:color="auto" w:fill="auto"/>
                <w:noWrap/>
                <w:tcMar>
                  <w:top w:w="15" w:type="dxa"/>
                  <w:left w:w="0" w:type="dxa"/>
                  <w:bottom w:w="0" w:type="dxa"/>
                  <w:right w:w="15" w:type="dxa"/>
                </w:tcMar>
                <w:vAlign w:val="bottom"/>
              </w:tcPr>
              <w:p w:rsidR="00690895" w:rsidRDefault="00880550">
                <w:pPr>
                  <w:rPr>
                    <w:rFonts w:ascii="Arial"/>
                    <w:b/>
                    <w:color w:val="000000"/>
                  </w:rPr>
                </w:pPr>
                <w:r>
                  <w:rPr>
                    <w:rFonts w:ascii="Arial"/>
                    <w:b/>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679" w:type="pct"/>
                <w:gridSpan w:val="2"/>
                <w:shd w:val="clear" w:color="auto" w:fill="auto"/>
                <w:tcMar>
                  <w:top w:w="15" w:type="dxa"/>
                  <w:left w:w="0" w:type="dxa"/>
                  <w:bottom w:w="0" w:type="dxa"/>
                  <w:right w:w="15" w:type="dxa"/>
                </w:tcMar>
                <w:vAlign w:val="bottom"/>
              </w:tcPr>
              <w:p w:rsidR="00690895" w:rsidRDefault="00880550">
                <w:pPr>
                  <w:jc w:val="center"/>
                  <w:rPr>
                    <w:rFonts w:ascii="Calibri"/>
                    <w:color w:val="000000"/>
                  </w:rPr>
                </w:pPr>
                <w:r>
                  <w:rPr>
                    <w:rFonts w:ascii="Arial"/>
                    <w:b/>
                    <w:color w:val="000000"/>
                    <w:sz w:val="22"/>
                  </w:rPr>
                  <w:t>12/31/2014</w:t>
                </w:r>
                <w:r>
                  <w:rPr>
                    <w:rFonts w:ascii="Arial"/>
                    <w:color w:val="000000"/>
                    <w:sz w:val="22"/>
                    <w:vertAlign w:val="superscript"/>
                  </w:rPr>
                  <w:t>(1)</w:t>
                </w:r>
              </w:p>
            </w:tc>
            <w:tc>
              <w:tcPr>
                <w:tcW w:w="50" w:type="pct"/>
                <w:shd w:val="clear" w:color="auto" w:fill="auto"/>
                <w:noWrap/>
                <w:tcMar>
                  <w:top w:w="15" w:type="dxa"/>
                  <w:left w:w="0" w:type="dxa"/>
                  <w:bottom w:w="0" w:type="dxa"/>
                  <w:right w:w="15" w:type="dxa"/>
                </w:tcMar>
                <w:vAlign w:val="bottom"/>
              </w:tcPr>
              <w:p w:rsidR="00690895" w:rsidRDefault="00880550">
                <w:pPr>
                  <w:rPr>
                    <w:rFonts w:ascii="Calibri"/>
                    <w:color w:val="000000"/>
                  </w:rPr>
                </w:pPr>
                <w:r>
                  <w:rPr>
                    <w:rFonts w:ascii="Calibri"/>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keepNext/>
                  <w:rPr>
                    <w:rFonts w:ascii="Arial"/>
                    <w:color w:val="000000"/>
                  </w:rPr>
                </w:pPr>
                <w:r>
                  <w:rPr>
                    <w:rFonts w:ascii="Arial"/>
                    <w:color w:val="000000"/>
                    <w:sz w:val="22"/>
                  </w:rPr>
                  <w:t>Revolving Credit Facilities</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2.0</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5.5</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keepNext/>
                  <w:rPr>
                    <w:rFonts w:ascii="Arial"/>
                    <w:color w:val="000000"/>
                  </w:rPr>
                </w:pPr>
                <w:r>
                  <w:rPr>
                    <w:rFonts w:ascii="Arial"/>
                    <w:color w:val="000000"/>
                    <w:sz w:val="22"/>
                  </w:rPr>
                  <w:t>First Lien Term Loans</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682.2</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696.0</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keepNext/>
                  <w:rPr>
                    <w:rFonts w:ascii="Arial"/>
                    <w:color w:val="000000"/>
                  </w:rPr>
                </w:pPr>
                <w:r>
                  <w:rPr>
                    <w:rFonts w:ascii="Arial"/>
                    <w:color w:val="000000"/>
                    <w:sz w:val="22"/>
                  </w:rPr>
                  <w:t>6.875% Senior Unsecured Notes</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519.8</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518.9</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keepNext/>
                  <w:rPr>
                    <w:rFonts w:ascii="Arial"/>
                    <w:color w:val="000000"/>
                  </w:rPr>
                </w:pPr>
                <w:r>
                  <w:rPr>
                    <w:rFonts w:ascii="Arial"/>
                    <w:color w:val="000000"/>
                    <w:sz w:val="22"/>
                  </w:rPr>
                  <w:t>6.125% Senior Unsecured Notes</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tcBorders>
                  <w:bottom w:val="single" w:sz="2" w:space="0" w:color="000000"/>
                </w:tcBorders>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272.2</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tcBorders>
                  <w:bottom w:val="single" w:sz="2" w:space="0" w:color="000000"/>
                </w:tcBorders>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keepNext/>
                  <w:rPr>
                    <w:rFonts w:ascii="Arial"/>
                    <w:b/>
                    <w:color w:val="000000"/>
                  </w:rPr>
                </w:pPr>
                <w:r>
                  <w:rPr>
                    <w:rFonts w:ascii="Arial"/>
                    <w:b/>
                    <w:color w:val="000000"/>
                    <w:sz w:val="22"/>
                  </w:rPr>
                  <w:t>Total Debt</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tcBorders>
                  <w:top w:val="single" w:sz="2" w:space="0" w:color="000000"/>
                </w:tcBorders>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1,476.2</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tcBorders>
                  <w:top w:val="single" w:sz="2" w:space="0" w:color="000000"/>
                </w:tcBorders>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1,220.4</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keepNext/>
                  <w:rPr>
                    <w:rFonts w:ascii="Arial"/>
                    <w:b/>
                    <w:color w:val="000000"/>
                  </w:rPr>
                </w:pPr>
                <w:r>
                  <w:rPr>
                    <w:rFonts w:ascii="Arial"/>
                    <w:b/>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629"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629"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r>
          <w:tr w:rsidR="000E308C" w:rsidTr="004A7396">
            <w:trPr>
              <w:cantSplit/>
              <w:jc w:val="center"/>
            </w:trPr>
            <w:tc>
              <w:tcPr>
                <w:tcW w:w="3393" w:type="pct"/>
                <w:shd w:val="clear" w:color="auto" w:fill="auto"/>
                <w:tcMar>
                  <w:top w:w="15" w:type="dxa"/>
                  <w:left w:w="0" w:type="dxa"/>
                  <w:bottom w:w="0" w:type="dxa"/>
                  <w:right w:w="15" w:type="dxa"/>
                </w:tcMar>
                <w:vAlign w:val="center"/>
              </w:tcPr>
              <w:p w:rsidR="00690895" w:rsidRDefault="00880550">
                <w:pPr>
                  <w:rPr>
                    <w:rFonts w:ascii="Arial"/>
                    <w:b/>
                    <w:color w:val="000000"/>
                  </w:rPr>
                </w:pPr>
                <w:r>
                  <w:rPr>
                    <w:rFonts w:ascii="Arial"/>
                    <w:b/>
                    <w:color w:val="000000"/>
                    <w:sz w:val="22"/>
                  </w:rPr>
                  <w:t>Cash on Hand</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43.4</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73" w:type="pct"/>
                <w:shd w:val="clear" w:color="auto" w:fill="auto"/>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 xml:space="preserve"> </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2"/>
                  </w:rPr>
                  <w:t>$</w:t>
                </w:r>
              </w:p>
            </w:tc>
            <w:tc>
              <w:tcPr>
                <w:tcW w:w="629" w:type="pct"/>
                <w:shd w:val="clear" w:color="auto" w:fill="auto"/>
                <w:noWrap/>
                <w:tcMar>
                  <w:top w:w="15" w:type="dxa"/>
                  <w:left w:w="0" w:type="dxa"/>
                  <w:bottom w:w="0" w:type="dxa"/>
                  <w:right w:w="15" w:type="dxa"/>
                </w:tcMar>
                <w:vAlign w:val="bottom"/>
              </w:tcPr>
              <w:p w:rsidR="00690895" w:rsidRDefault="00880550">
                <w:pPr>
                  <w:jc w:val="right"/>
                  <w:rPr>
                    <w:rFonts w:ascii="Arial"/>
                    <w:color w:val="000000"/>
                  </w:rPr>
                </w:pPr>
                <w:r>
                  <w:rPr>
                    <w:rFonts w:ascii="Arial"/>
                    <w:color w:val="000000"/>
                    <w:sz w:val="22"/>
                  </w:rPr>
                  <w:t>131.9</w:t>
                </w:r>
              </w:p>
            </w:tc>
            <w:tc>
              <w:tcPr>
                <w:tcW w:w="50" w:type="pct"/>
                <w:shd w:val="clear" w:color="auto" w:fill="auto"/>
                <w:noWrap/>
                <w:tcMar>
                  <w:top w:w="15" w:type="dxa"/>
                  <w:left w:w="0" w:type="dxa"/>
                  <w:bottom w:w="0" w:type="dxa"/>
                  <w:right w:w="15" w:type="dxa"/>
                </w:tcMar>
                <w:vAlign w:val="bottom"/>
              </w:tcPr>
              <w:p w:rsidR="00690895" w:rsidRDefault="00880550">
                <w:pPr>
                  <w:rPr>
                    <w:rFonts w:ascii="Arial"/>
                    <w:color w:val="000000"/>
                  </w:rPr>
                </w:pPr>
                <w:r>
                  <w:rPr>
                    <w:rFonts w:ascii="Arial"/>
                    <w:color w:val="000000"/>
                    <w:sz w:val="2"/>
                  </w:rPr>
                  <w:t xml:space="preserve"> </w:t>
                </w:r>
              </w:p>
            </w:tc>
          </w:tr>
        </w:tbl>
      </w:sdtContent>
    </w:sdt>
    <w:p w:rsidR="000956EA" w:rsidRPr="00944150" w:rsidRDefault="00E05E0E" w:rsidP="000956EA">
      <w:pPr>
        <w:spacing w:line="264" w:lineRule="auto"/>
        <w:jc w:val="both"/>
        <w:rPr>
          <w:rFonts w:ascii="Arial" w:hAnsi="Arial" w:cs="Arial"/>
          <w:sz w:val="2"/>
          <w:szCs w:val="2"/>
        </w:rPr>
      </w:pPr>
    </w:p>
    <w:tbl>
      <w:tblPr>
        <w:tblStyle w:val="TableGrid"/>
        <w:tblW w:w="665" w:type="pct"/>
        <w:tblBorders>
          <w:top w:val="nil"/>
          <w:left w:val="nil"/>
          <w:bottom w:val="nil"/>
          <w:right w:val="nil"/>
          <w:insideH w:val="nil"/>
          <w:insideV w:val="nil"/>
        </w:tblBorders>
        <w:tblCellMar>
          <w:left w:w="0" w:type="dxa"/>
          <w:right w:w="14" w:type="dxa"/>
        </w:tblCellMar>
        <w:tblLook w:val="04A0" w:firstRow="1" w:lastRow="0" w:firstColumn="1" w:lastColumn="0" w:noHBand="0" w:noVBand="1"/>
      </w:tblPr>
      <w:tblGrid>
        <w:gridCol w:w="1247"/>
      </w:tblGrid>
      <w:tr w:rsidR="000E308C" w:rsidTr="000956EA">
        <w:trPr>
          <w:cantSplit/>
        </w:trPr>
        <w:tc>
          <w:tcPr>
            <w:tcW w:w="5000" w:type="pct"/>
            <w:tcBorders>
              <w:bottom w:val="single" w:sz="4" w:space="0" w:color="auto"/>
            </w:tcBorders>
            <w:noWrap/>
            <w:vAlign w:val="bottom"/>
          </w:tcPr>
          <w:p w:rsidR="000956EA" w:rsidRPr="00563FA6" w:rsidRDefault="00E05E0E" w:rsidP="000956EA">
            <w:pPr>
              <w:keepNext/>
              <w:rPr>
                <w:sz w:val="12"/>
                <w:szCs w:val="12"/>
              </w:rPr>
            </w:pPr>
          </w:p>
        </w:tc>
      </w:tr>
    </w:tbl>
    <w:p w:rsidR="000956EA" w:rsidRPr="00F47B76" w:rsidRDefault="00880550" w:rsidP="000956EA">
      <w:pPr>
        <w:pStyle w:val="NormalWeb"/>
        <w:numPr>
          <w:ilvl w:val="0"/>
          <w:numId w:val="4"/>
        </w:numPr>
        <w:tabs>
          <w:tab w:val="left" w:pos="360"/>
        </w:tabs>
        <w:spacing w:before="0" w:after="0"/>
        <w:rPr>
          <w:sz w:val="18"/>
          <w:szCs w:val="18"/>
        </w:rPr>
      </w:pPr>
      <w:r w:rsidRPr="00F47B76">
        <w:rPr>
          <w:rFonts w:ascii="Arial" w:hAnsi="Arial" w:cs="Arial"/>
          <w:sz w:val="18"/>
          <w:szCs w:val="18"/>
        </w:rPr>
        <w:t xml:space="preserve">The Company early adopted a recent accounting standard related to the presentation of debt financing costs in its consolidated balance sheets which requires cost to third parties that are directly attributable to issuing a debt instrument to be presented as a direct deduction from the carrying value of debt as opposed to an asset. As such the amounts previously reported as </w:t>
      </w:r>
      <w:proofErr w:type="gramStart"/>
      <w:r w:rsidRPr="00F47B76">
        <w:rPr>
          <w:rFonts w:ascii="Arial" w:hAnsi="Arial" w:cs="Arial"/>
          <w:sz w:val="18"/>
          <w:szCs w:val="18"/>
        </w:rPr>
        <w:t>debt as of December 31, 2014 were</w:t>
      </w:r>
      <w:proofErr w:type="gramEnd"/>
      <w:r w:rsidRPr="00F47B76">
        <w:rPr>
          <w:rFonts w:ascii="Arial" w:hAnsi="Arial" w:cs="Arial"/>
          <w:sz w:val="18"/>
          <w:szCs w:val="18"/>
        </w:rPr>
        <w:t xml:space="preserve"> decreased by a total of $15.8 million.</w:t>
      </w:r>
    </w:p>
    <w:p w:rsidR="000956EA" w:rsidRDefault="00E05E0E" w:rsidP="000956EA">
      <w:pPr>
        <w:pStyle w:val="ListParagraph"/>
        <w:spacing w:line="264" w:lineRule="auto"/>
        <w:ind w:left="360"/>
        <w:rPr>
          <w:rFonts w:ascii="Arial" w:hAnsi="Arial" w:cs="Arial"/>
          <w:sz w:val="20"/>
        </w:rPr>
      </w:pPr>
    </w:p>
    <w:p w:rsidR="005406CA" w:rsidRDefault="00880550" w:rsidP="005406CA">
      <w:pPr>
        <w:spacing w:line="264" w:lineRule="auto"/>
        <w:jc w:val="both"/>
        <w:rPr>
          <w:rFonts w:ascii="Arial" w:hAnsi="Arial" w:cs="Arial"/>
          <w:b/>
          <w:sz w:val="22"/>
          <w:szCs w:val="22"/>
        </w:rPr>
      </w:pPr>
      <w:r>
        <w:rPr>
          <w:rFonts w:ascii="Arial" w:hAnsi="Arial" w:cs="Arial"/>
          <w:b/>
          <w:sz w:val="22"/>
          <w:szCs w:val="22"/>
        </w:rPr>
        <w:t>Nexstar Enters into Definitive Agreement to Acquire Media General</w:t>
      </w:r>
    </w:p>
    <w:p w:rsidR="008002AE" w:rsidRDefault="00880550" w:rsidP="005406CA">
      <w:pPr>
        <w:spacing w:line="264" w:lineRule="auto"/>
        <w:jc w:val="both"/>
        <w:rPr>
          <w:rFonts w:ascii="Arial" w:hAnsi="Arial" w:cs="Arial"/>
          <w:sz w:val="22"/>
          <w:szCs w:val="22"/>
        </w:rPr>
      </w:pPr>
      <w:r w:rsidRPr="009F5CBE">
        <w:rPr>
          <w:rFonts w:ascii="Arial" w:hAnsi="Arial" w:cs="Arial"/>
          <w:sz w:val="22"/>
          <w:szCs w:val="22"/>
        </w:rPr>
        <w:t>On January 27, 2016, Nexstar and Media General, Inc. announced a definitive agreement whereby Nexstar will acquire all outstanding shares of Media General for $10.55 per share in cash and 0.1249 of a share of Nexstar Class A common stock for each Media General share.  The agreement includes potential additional consideration in the form of a contingent value right ("</w:t>
      </w:r>
      <w:proofErr w:type="spellStart"/>
      <w:r w:rsidRPr="009F5CBE">
        <w:rPr>
          <w:rFonts w:ascii="Arial" w:hAnsi="Arial" w:cs="Arial"/>
          <w:sz w:val="22"/>
          <w:szCs w:val="22"/>
        </w:rPr>
        <w:t>CVR</w:t>
      </w:r>
      <w:proofErr w:type="spellEnd"/>
      <w:r w:rsidRPr="009F5CBE">
        <w:rPr>
          <w:rFonts w:ascii="Arial" w:hAnsi="Arial" w:cs="Arial"/>
          <w:sz w:val="22"/>
          <w:szCs w:val="22"/>
        </w:rPr>
        <w:t>") entitling Media General shareholders to net cash proceeds as received from the sale of Media General's spectrum in the Federal Communication Commission’s upcoming Incentive Auction</w:t>
      </w:r>
      <w:r>
        <w:rPr>
          <w:rFonts w:ascii="Arial" w:hAnsi="Arial" w:cs="Arial"/>
          <w:sz w:val="22"/>
          <w:szCs w:val="22"/>
        </w:rPr>
        <w:t>, reduced to account for the indirect benefit former Media General shareholders will receive as shareholders in the combined company from (</w:t>
      </w:r>
      <w:proofErr w:type="spellStart"/>
      <w:r>
        <w:rPr>
          <w:rFonts w:ascii="Arial" w:hAnsi="Arial" w:cs="Arial"/>
          <w:sz w:val="22"/>
          <w:szCs w:val="22"/>
        </w:rPr>
        <w:t>i</w:t>
      </w:r>
      <w:proofErr w:type="spellEnd"/>
      <w:r>
        <w:rPr>
          <w:rFonts w:ascii="Arial" w:hAnsi="Arial" w:cs="Arial"/>
          <w:sz w:val="22"/>
          <w:szCs w:val="22"/>
        </w:rPr>
        <w:t>) the net proceeds from the disposition of Nexstar’s spectrum in the Incentive Auction and (ii) the net proceeds from the disposition of Media General’s spectrum in the Incentive Auction</w:t>
      </w:r>
      <w:r w:rsidRPr="009F5CBE">
        <w:rPr>
          <w:rFonts w:ascii="Arial" w:hAnsi="Arial" w:cs="Arial"/>
          <w:sz w:val="22"/>
          <w:szCs w:val="22"/>
        </w:rPr>
        <w:t xml:space="preserve">.  </w:t>
      </w:r>
    </w:p>
    <w:p w:rsidR="008002AE" w:rsidRDefault="00E05E0E" w:rsidP="005406CA">
      <w:pPr>
        <w:spacing w:line="264" w:lineRule="auto"/>
        <w:jc w:val="both"/>
        <w:rPr>
          <w:rFonts w:ascii="Arial" w:hAnsi="Arial" w:cs="Arial"/>
          <w:sz w:val="22"/>
          <w:szCs w:val="22"/>
        </w:rPr>
      </w:pPr>
    </w:p>
    <w:p w:rsidR="005406CA" w:rsidRDefault="00880550" w:rsidP="005406CA">
      <w:pPr>
        <w:spacing w:line="264" w:lineRule="auto"/>
        <w:jc w:val="both"/>
        <w:rPr>
          <w:rFonts w:ascii="Arial" w:hAnsi="Arial" w:cs="Arial"/>
          <w:sz w:val="22"/>
          <w:szCs w:val="22"/>
        </w:rPr>
      </w:pPr>
      <w:r w:rsidRPr="00914387">
        <w:rPr>
          <w:rFonts w:ascii="Arial" w:hAnsi="Arial" w:cs="Arial"/>
          <w:sz w:val="22"/>
          <w:szCs w:val="22"/>
        </w:rPr>
        <w:t xml:space="preserve">The transaction will enable Nexstar and Media General shareholders to participate in the near- and long-term upside of a pure-play broadcasting company with expanded audience reach, a more diversified portfolio, and a significantly stronger financial profile, including substantial free cash flow per share, led by a proven broadcast and digital media management team. </w:t>
      </w:r>
    </w:p>
    <w:p w:rsidR="00A81302" w:rsidRDefault="00E05E0E" w:rsidP="005406CA">
      <w:pPr>
        <w:spacing w:line="264" w:lineRule="auto"/>
        <w:jc w:val="both"/>
        <w:rPr>
          <w:rFonts w:ascii="Arial" w:hAnsi="Arial" w:cs="Arial"/>
          <w:sz w:val="22"/>
          <w:szCs w:val="22"/>
        </w:rPr>
      </w:pPr>
    </w:p>
    <w:p w:rsidR="00904EE1" w:rsidRDefault="00880550" w:rsidP="005406CA">
      <w:pPr>
        <w:spacing w:line="264" w:lineRule="auto"/>
        <w:jc w:val="both"/>
        <w:rPr>
          <w:rFonts w:ascii="Arial" w:hAnsi="Arial" w:cs="Arial"/>
          <w:sz w:val="22"/>
          <w:szCs w:val="22"/>
        </w:rPr>
      </w:pPr>
      <w:r w:rsidRPr="00A81302">
        <w:rPr>
          <w:rFonts w:ascii="Arial" w:hAnsi="Arial" w:cs="Arial"/>
          <w:sz w:val="22"/>
          <w:szCs w:val="22"/>
        </w:rPr>
        <w:t xml:space="preserve">The transaction, expected to close </w:t>
      </w:r>
      <w:r>
        <w:rPr>
          <w:rFonts w:ascii="Arial" w:hAnsi="Arial" w:cs="Arial"/>
          <w:color w:val="000000"/>
          <w:sz w:val="22"/>
          <w:szCs w:val="22"/>
        </w:rPr>
        <w:t xml:space="preserve">late in the third quarter/early in the fourth quarter of 2016, </w:t>
      </w:r>
      <w:r w:rsidRPr="00412AD0">
        <w:rPr>
          <w:rFonts w:ascii="Arial" w:hAnsi="Arial" w:cs="Arial"/>
          <w:sz w:val="22"/>
          <w:szCs w:val="22"/>
        </w:rPr>
        <w:t>has been unanimously approved by the boards of directors of both companies and is subject to a vote by stockholders of Media General and Nexstar, FCC approval and other regulatory approvals (including expiration of the applicable Hart-Scott-</w:t>
      </w:r>
      <w:proofErr w:type="spellStart"/>
      <w:r w:rsidRPr="00412AD0">
        <w:rPr>
          <w:rFonts w:ascii="Arial" w:hAnsi="Arial" w:cs="Arial"/>
          <w:sz w:val="22"/>
          <w:szCs w:val="22"/>
        </w:rPr>
        <w:t>Rodino</w:t>
      </w:r>
      <w:proofErr w:type="spellEnd"/>
      <w:r w:rsidRPr="00412AD0">
        <w:rPr>
          <w:rFonts w:ascii="Arial" w:hAnsi="Arial" w:cs="Arial"/>
          <w:sz w:val="22"/>
          <w:szCs w:val="22"/>
        </w:rPr>
        <w:t xml:space="preserve"> waiting period) and other customary closing conditions. The merger is not subject to any financing condition and Nexstar has received committed financing totaling $4.7 billion from </w:t>
      </w:r>
      <w:proofErr w:type="spellStart"/>
      <w:r w:rsidRPr="00412AD0">
        <w:rPr>
          <w:rFonts w:ascii="Arial" w:hAnsi="Arial" w:cs="Arial"/>
          <w:sz w:val="22"/>
          <w:szCs w:val="22"/>
        </w:rPr>
        <w:t>BofA</w:t>
      </w:r>
      <w:proofErr w:type="spellEnd"/>
      <w:r w:rsidRPr="00412AD0">
        <w:rPr>
          <w:rFonts w:ascii="Arial" w:hAnsi="Arial" w:cs="Arial"/>
          <w:sz w:val="22"/>
          <w:szCs w:val="22"/>
        </w:rPr>
        <w:t xml:space="preserve"> Merrill Lynch, Credit Suisse and Deutsche Bank to provide the debt financing to consummate the merger and the refinancing of certain of the existing indebtedness of Nexstar, Media General and certain of their variable interest entities (with such amount to be reduced by proceeds from asset sales required by FCC).</w:t>
      </w:r>
    </w:p>
    <w:p w:rsidR="00904EE1" w:rsidRDefault="00E05E0E" w:rsidP="005406CA">
      <w:pPr>
        <w:spacing w:line="264" w:lineRule="auto"/>
        <w:jc w:val="both"/>
        <w:rPr>
          <w:rFonts w:ascii="Arial" w:hAnsi="Arial" w:cs="Arial"/>
          <w:sz w:val="22"/>
          <w:szCs w:val="22"/>
        </w:rPr>
      </w:pPr>
    </w:p>
    <w:p w:rsidR="005406CA" w:rsidRPr="00914387" w:rsidRDefault="00880550" w:rsidP="005406CA">
      <w:pPr>
        <w:spacing w:line="264" w:lineRule="auto"/>
        <w:jc w:val="both"/>
        <w:rPr>
          <w:rFonts w:ascii="Arial" w:hAnsi="Arial" w:cs="Arial"/>
          <w:sz w:val="22"/>
          <w:szCs w:val="22"/>
        </w:rPr>
      </w:pPr>
      <w:proofErr w:type="spellStart"/>
      <w:r w:rsidRPr="00914387">
        <w:rPr>
          <w:rFonts w:ascii="Arial" w:hAnsi="Arial" w:cs="Arial"/>
          <w:sz w:val="22"/>
          <w:szCs w:val="22"/>
        </w:rPr>
        <w:t>BofA</w:t>
      </w:r>
      <w:proofErr w:type="spellEnd"/>
      <w:r w:rsidRPr="00914387">
        <w:rPr>
          <w:rFonts w:ascii="Arial" w:hAnsi="Arial" w:cs="Arial"/>
          <w:sz w:val="22"/>
          <w:szCs w:val="22"/>
        </w:rPr>
        <w:t xml:space="preserve"> Merrill Lynch is acting as financial advisor and Kirkland &amp; Ellis LLP is acting as legal counsel to Nexstar in connection with the proposed transaction.</w:t>
      </w:r>
    </w:p>
    <w:p w:rsidR="005406CA" w:rsidRDefault="00E05E0E" w:rsidP="005406CA">
      <w:pPr>
        <w:spacing w:line="264" w:lineRule="auto"/>
        <w:jc w:val="both"/>
        <w:rPr>
          <w:rFonts w:ascii="Arial" w:hAnsi="Arial" w:cs="Arial"/>
          <w:sz w:val="22"/>
          <w:szCs w:val="22"/>
        </w:rPr>
      </w:pPr>
    </w:p>
    <w:p w:rsidR="00864197" w:rsidRDefault="00880550" w:rsidP="00864197">
      <w:pPr>
        <w:jc w:val="center"/>
        <w:rPr>
          <w:rFonts w:ascii="Arial" w:hAnsi="Arial" w:cs="Arial"/>
          <w:sz w:val="22"/>
        </w:rPr>
        <w:sectPr w:rsidR="00864197" w:rsidSect="00864197">
          <w:pgSz w:w="12240" w:h="15840"/>
          <w:pgMar w:top="547" w:right="1440" w:bottom="547" w:left="1440" w:header="0" w:footer="0" w:gutter="0"/>
          <w:cols w:space="720"/>
          <w:docGrid w:linePitch="360"/>
        </w:sectPr>
      </w:pPr>
      <w:r>
        <w:rPr>
          <w:rFonts w:ascii="Arial" w:hAnsi="Arial" w:cs="Arial"/>
          <w:sz w:val="22"/>
        </w:rPr>
        <w:t>-</w:t>
      </w:r>
      <w:proofErr w:type="gramStart"/>
      <w:r>
        <w:rPr>
          <w:rFonts w:ascii="Arial" w:hAnsi="Arial" w:cs="Arial"/>
          <w:sz w:val="22"/>
        </w:rPr>
        <w:t>more</w:t>
      </w:r>
      <w:proofErr w:type="gramEnd"/>
      <w:r>
        <w:rPr>
          <w:rFonts w:ascii="Arial" w:hAnsi="Arial" w:cs="Arial"/>
          <w:sz w:val="22"/>
        </w:rPr>
        <w:t>-</w:t>
      </w:r>
    </w:p>
    <w:p w:rsidR="00DD4494" w:rsidRDefault="00880550" w:rsidP="00DD4494">
      <w:pPr>
        <w:spacing w:line="264" w:lineRule="auto"/>
        <w:rPr>
          <w:rFonts w:ascii="Arial" w:hAnsi="Arial" w:cs="Arial"/>
          <w:sz w:val="22"/>
        </w:rPr>
      </w:pPr>
      <w:r>
        <w:rPr>
          <w:rFonts w:ascii="Arial" w:hAnsi="Arial" w:cs="Arial"/>
          <w:b/>
          <w:bCs/>
          <w:sz w:val="22"/>
        </w:rPr>
        <w:lastRenderedPageBreak/>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5</w:t>
      </w:r>
    </w:p>
    <w:p w:rsidR="00864197" w:rsidRDefault="00E05E0E">
      <w:pPr>
        <w:rPr>
          <w:rFonts w:ascii="Arial" w:hAnsi="Arial" w:cs="Arial"/>
          <w:b/>
          <w:bCs/>
          <w:sz w:val="22"/>
          <w:szCs w:val="22"/>
        </w:rPr>
      </w:pPr>
    </w:p>
    <w:p w:rsidR="000956EA" w:rsidRPr="00F15065" w:rsidRDefault="00880550" w:rsidP="000956EA">
      <w:pPr>
        <w:pStyle w:val="Heading4"/>
        <w:spacing w:line="264" w:lineRule="auto"/>
        <w:rPr>
          <w:rFonts w:cs="Arial"/>
          <w:bCs/>
          <w:szCs w:val="22"/>
        </w:rPr>
      </w:pPr>
      <w:r w:rsidRPr="00F15065">
        <w:rPr>
          <w:rFonts w:cs="Arial"/>
          <w:bCs/>
          <w:szCs w:val="22"/>
        </w:rPr>
        <w:t>Fourth Quarter Conference Call</w:t>
      </w:r>
    </w:p>
    <w:p w:rsidR="000956EA" w:rsidRPr="00A0064D" w:rsidRDefault="00880550" w:rsidP="000956EA">
      <w:pPr>
        <w:spacing w:line="264" w:lineRule="auto"/>
        <w:jc w:val="both"/>
        <w:rPr>
          <w:rFonts w:ascii="Arial" w:hAnsi="Arial" w:cs="Arial"/>
          <w:sz w:val="22"/>
        </w:rPr>
      </w:pPr>
      <w:r w:rsidRPr="00AA057F">
        <w:rPr>
          <w:rFonts w:ascii="Arial" w:hAnsi="Arial" w:cs="Arial"/>
          <w:sz w:val="22"/>
        </w:rPr>
        <w:t>Nexstar will host a conference call at 10:00 a.m. ET today.  Senior management will discuss the financial results and host a question and answer session.  The dial in number for the audio conference call is 719/457-2552, conference ID 1666314</w:t>
      </w:r>
      <w:r w:rsidRPr="00A0064D">
        <w:rPr>
          <w:rFonts w:ascii="Arial" w:hAnsi="Arial" w:cs="Arial"/>
          <w:color w:val="000000"/>
          <w:sz w:val="22"/>
          <w:szCs w:val="22"/>
        </w:rPr>
        <w:t xml:space="preserve"> (domestic and international callers)</w:t>
      </w:r>
      <w:r w:rsidRPr="00A0064D">
        <w:rPr>
          <w:rFonts w:ascii="Arial" w:hAnsi="Arial" w:cs="Arial"/>
          <w:sz w:val="22"/>
        </w:rPr>
        <w:t xml:space="preserve">.  In addition, a live audio webcast of the call will be accessible to the public on Nexstar’s web site, </w:t>
      </w:r>
      <w:hyperlink r:id="rId13" w:history="1">
        <w:r w:rsidRPr="008A4F89">
          <w:rPr>
            <w:rFonts w:ascii="Arial" w:hAnsi="Arial"/>
          </w:rPr>
          <w:t>www.nexstar.tv</w:t>
        </w:r>
      </w:hyperlink>
      <w:r w:rsidRPr="00A0064D">
        <w:rPr>
          <w:rFonts w:ascii="Arial" w:hAnsi="Arial" w:cs="Arial"/>
          <w:sz w:val="22"/>
        </w:rPr>
        <w:t xml:space="preserve"> and a recording of the webcast will be archived on the site for 90 days following the live event.</w:t>
      </w:r>
    </w:p>
    <w:p w:rsidR="000956EA" w:rsidRDefault="00E05E0E" w:rsidP="000956EA">
      <w:pPr>
        <w:spacing w:line="264" w:lineRule="auto"/>
        <w:jc w:val="both"/>
        <w:rPr>
          <w:rFonts w:ascii="Arial" w:hAnsi="Arial" w:cs="Arial"/>
          <w:color w:val="000000"/>
          <w:sz w:val="22"/>
          <w:szCs w:val="22"/>
        </w:rPr>
      </w:pPr>
    </w:p>
    <w:p w:rsidR="000956EA" w:rsidRPr="00A0064D" w:rsidRDefault="00880550" w:rsidP="000956EA">
      <w:pPr>
        <w:pStyle w:val="Heading4"/>
        <w:spacing w:line="264" w:lineRule="auto"/>
        <w:rPr>
          <w:rFonts w:cs="Arial"/>
          <w:bCs/>
        </w:rPr>
      </w:pPr>
      <w:r w:rsidRPr="00A0064D">
        <w:rPr>
          <w:rFonts w:cs="Arial"/>
          <w:bCs/>
        </w:rPr>
        <w:t>Definitions and Disclosures Regarding non-GAAP Financial Information</w:t>
      </w:r>
    </w:p>
    <w:p w:rsidR="000956EA" w:rsidRPr="00A0064D" w:rsidRDefault="00880550" w:rsidP="000956EA">
      <w:pPr>
        <w:spacing w:line="264" w:lineRule="auto"/>
        <w:jc w:val="both"/>
        <w:rPr>
          <w:rFonts w:ascii="Arial" w:hAnsi="Arial" w:cs="Arial"/>
          <w:sz w:val="22"/>
        </w:rPr>
      </w:pPr>
      <w:r w:rsidRPr="00A0064D">
        <w:rPr>
          <w:rFonts w:ascii="Arial" w:hAnsi="Arial" w:cs="Arial"/>
          <w:sz w:val="22"/>
        </w:rPr>
        <w:t xml:space="preserve">Broadcast cash flow is calculated as income from operations, plus corporate expenses, depreciation, amortization of intangible assets and broadcast rights (excluding barter), (gain) loss on asset disposal and non-cash representation contract termination fee, minus broadcast rights payments.  </w:t>
      </w:r>
    </w:p>
    <w:p w:rsidR="000956EA" w:rsidRPr="005563CE" w:rsidRDefault="00E05E0E" w:rsidP="000956EA">
      <w:pPr>
        <w:spacing w:line="264" w:lineRule="auto"/>
        <w:rPr>
          <w:rFonts w:ascii="Arial" w:hAnsi="Arial" w:cs="Arial"/>
          <w:sz w:val="20"/>
        </w:rPr>
      </w:pPr>
    </w:p>
    <w:p w:rsidR="000956EA" w:rsidRPr="00A0064D" w:rsidRDefault="00880550" w:rsidP="000956EA">
      <w:pPr>
        <w:pStyle w:val="BodyTextIndent"/>
        <w:tabs>
          <w:tab w:val="left" w:pos="360"/>
          <w:tab w:val="left" w:pos="720"/>
        </w:tabs>
        <w:suppressAutoHyphens/>
        <w:autoSpaceDE/>
        <w:autoSpaceDN/>
        <w:adjustRightInd/>
        <w:spacing w:line="264" w:lineRule="auto"/>
        <w:rPr>
          <w:rFonts w:ascii="Arial" w:hAnsi="Arial" w:cs="Arial"/>
          <w:sz w:val="22"/>
        </w:rPr>
      </w:pPr>
      <w:r w:rsidRPr="00A0064D">
        <w:rPr>
          <w:rFonts w:ascii="Arial" w:hAnsi="Arial" w:cs="Arial"/>
          <w:sz w:val="22"/>
        </w:rPr>
        <w:t>Adjusted EBITDA is calculated as broadcast cash flow less corporate expenses.</w:t>
      </w:r>
    </w:p>
    <w:p w:rsidR="000956EA" w:rsidRPr="005563CE" w:rsidRDefault="00E05E0E" w:rsidP="000956EA">
      <w:pPr>
        <w:spacing w:line="264" w:lineRule="auto"/>
        <w:rPr>
          <w:rFonts w:ascii="Arial" w:hAnsi="Arial" w:cs="Arial"/>
          <w:sz w:val="20"/>
        </w:rPr>
      </w:pPr>
    </w:p>
    <w:p w:rsidR="000956EA" w:rsidRPr="00A0064D" w:rsidRDefault="00880550" w:rsidP="000956EA">
      <w:pPr>
        <w:spacing w:line="264" w:lineRule="auto"/>
        <w:jc w:val="both"/>
        <w:rPr>
          <w:rFonts w:ascii="Arial" w:hAnsi="Arial" w:cs="Arial"/>
          <w:sz w:val="22"/>
        </w:rPr>
      </w:pPr>
      <w:r w:rsidRPr="00A0064D">
        <w:rPr>
          <w:rFonts w:ascii="Arial" w:hAnsi="Arial" w:cs="Arial"/>
          <w:sz w:val="22"/>
        </w:rPr>
        <w:t>Free cash flow is calculated as income from operations plus depreciation, amortization of intangible assets and broadcast rights (excluding barter), (gain) loss on asset disposal, non-cash compensation expense and non-cash representation contract termination fee, less payments for broadcast rights, cash interest expense, capital expenditures and net operating cash income taxes.</w:t>
      </w:r>
    </w:p>
    <w:p w:rsidR="000956EA" w:rsidRPr="005563CE" w:rsidRDefault="00E05E0E" w:rsidP="000956EA">
      <w:pPr>
        <w:spacing w:line="264" w:lineRule="auto"/>
        <w:rPr>
          <w:rFonts w:ascii="Arial" w:hAnsi="Arial" w:cs="Arial"/>
          <w:sz w:val="20"/>
        </w:rPr>
      </w:pPr>
    </w:p>
    <w:p w:rsidR="000956EA" w:rsidRPr="00A0064D" w:rsidRDefault="00880550" w:rsidP="000956EA">
      <w:pPr>
        <w:tabs>
          <w:tab w:val="center" w:pos="4500"/>
        </w:tabs>
        <w:spacing w:line="264" w:lineRule="auto"/>
        <w:jc w:val="both"/>
        <w:rPr>
          <w:rFonts w:ascii="Arial" w:hAnsi="Arial" w:cs="Arial"/>
          <w:sz w:val="22"/>
        </w:rPr>
      </w:pPr>
      <w:r w:rsidRPr="00A0064D">
        <w:rPr>
          <w:rFonts w:ascii="Arial" w:hAnsi="Arial" w:cs="Arial"/>
          <w:sz w:val="22"/>
        </w:rPr>
        <w:t xml:space="preserve">Broadcast cash flow, Adjusted EBITDA and free cash flow results are non-GAAP financial measures.  Nexstar believes the presentation of these non-GAAP measures are useful to investors because they are used by lenders to measure the Company’s ability to service debt; by industry analysts to determine the market value of stations and their operating performance; by management to identify the cash available to service debt, make strategic acquisitions and investments, maintain capital assets and fund ongoing operations and working capital needs; and, because they reflect the most up-to-date operating results of the stations inclusive of </w:t>
      </w:r>
      <w:proofErr w:type="spellStart"/>
      <w:r w:rsidRPr="00A0064D">
        <w:rPr>
          <w:rFonts w:ascii="Arial" w:hAnsi="Arial" w:cs="Arial"/>
          <w:sz w:val="22"/>
        </w:rPr>
        <w:t>TBAs</w:t>
      </w:r>
      <w:proofErr w:type="spellEnd"/>
      <w:r w:rsidRPr="00A0064D">
        <w:rPr>
          <w:rFonts w:ascii="Arial" w:hAnsi="Arial" w:cs="Arial"/>
          <w:sz w:val="22"/>
        </w:rPr>
        <w:t xml:space="preserve"> or </w:t>
      </w:r>
      <w:proofErr w:type="spellStart"/>
      <w:r w:rsidRPr="00A0064D">
        <w:rPr>
          <w:rFonts w:ascii="Arial" w:hAnsi="Arial" w:cs="Arial"/>
          <w:sz w:val="22"/>
        </w:rPr>
        <w:t>LMAs</w:t>
      </w:r>
      <w:proofErr w:type="spellEnd"/>
      <w:r w:rsidRPr="00A0064D">
        <w:rPr>
          <w:rFonts w:ascii="Arial" w:hAnsi="Arial" w:cs="Arial"/>
          <w:sz w:val="22"/>
        </w:rPr>
        <w:t>.  Management believes they also provide an additional basis from which investors can establish forecasts and valuations for the Company’s business.</w:t>
      </w:r>
    </w:p>
    <w:p w:rsidR="000956EA" w:rsidRPr="005563CE" w:rsidRDefault="00E05E0E" w:rsidP="000956EA">
      <w:pPr>
        <w:spacing w:line="264" w:lineRule="auto"/>
        <w:rPr>
          <w:rFonts w:ascii="Arial" w:hAnsi="Arial" w:cs="Arial"/>
          <w:sz w:val="20"/>
        </w:rPr>
      </w:pPr>
    </w:p>
    <w:p w:rsidR="000956EA" w:rsidRPr="00A0064D" w:rsidRDefault="00880550" w:rsidP="000956EA">
      <w:pPr>
        <w:spacing w:line="264" w:lineRule="auto"/>
        <w:jc w:val="both"/>
        <w:rPr>
          <w:rFonts w:ascii="Arial" w:hAnsi="Arial" w:cs="Arial"/>
          <w:sz w:val="22"/>
        </w:rPr>
      </w:pPr>
      <w:r w:rsidRPr="00A0064D">
        <w:rPr>
          <w:rFonts w:ascii="Arial" w:hAnsi="Arial" w:cs="Arial"/>
          <w:sz w:val="22"/>
        </w:rPr>
        <w:t>For a reconciliation of these non-GAAP financial measurements to the GAAP financial results cited in this news announcement, please see the supplemental tables at the end of this release.</w:t>
      </w:r>
    </w:p>
    <w:p w:rsidR="000956EA" w:rsidRPr="00C55E72" w:rsidRDefault="00E05E0E" w:rsidP="000956EA">
      <w:pPr>
        <w:spacing w:line="264" w:lineRule="auto"/>
        <w:jc w:val="center"/>
        <w:rPr>
          <w:rFonts w:ascii="Arial" w:hAnsi="Arial" w:cs="Arial"/>
          <w:sz w:val="22"/>
          <w:szCs w:val="22"/>
        </w:rPr>
      </w:pPr>
    </w:p>
    <w:p w:rsidR="000956EA" w:rsidRPr="00A0064D" w:rsidRDefault="00880550" w:rsidP="000956EA">
      <w:pPr>
        <w:pStyle w:val="BodyTextIndent"/>
        <w:suppressAutoHyphens/>
        <w:spacing w:line="264" w:lineRule="auto"/>
        <w:jc w:val="both"/>
        <w:rPr>
          <w:rFonts w:ascii="Arial" w:hAnsi="Arial" w:cs="Arial"/>
          <w:b/>
          <w:bCs/>
          <w:sz w:val="22"/>
        </w:rPr>
      </w:pPr>
      <w:proofErr w:type="gramStart"/>
      <w:r w:rsidRPr="00A0064D">
        <w:rPr>
          <w:rFonts w:ascii="Arial" w:hAnsi="Arial" w:cs="Arial"/>
          <w:b/>
          <w:bCs/>
          <w:sz w:val="22"/>
        </w:rPr>
        <w:t>About Nexstar Broadcasting Group, Inc.</w:t>
      </w:r>
      <w:proofErr w:type="gramEnd"/>
    </w:p>
    <w:p w:rsidR="00122619" w:rsidRPr="00122619" w:rsidRDefault="00E05E0E" w:rsidP="00122619">
      <w:pPr>
        <w:spacing w:line="264" w:lineRule="auto"/>
        <w:jc w:val="both"/>
        <w:rPr>
          <w:rFonts w:ascii="Arial" w:eastAsia="Calibri" w:hAnsi="Arial" w:cs="Arial"/>
          <w:sz w:val="22"/>
          <w:szCs w:val="19"/>
        </w:rPr>
      </w:pPr>
      <w:hyperlink r:id="rId14" w:history="1">
        <w:r w:rsidR="00880550" w:rsidRPr="007D65A3">
          <w:rPr>
            <w:rFonts w:ascii="Arial" w:eastAsia="Calibri" w:hAnsi="Arial" w:cs="Arial"/>
            <w:color w:val="0000FF"/>
            <w:sz w:val="22"/>
            <w:szCs w:val="19"/>
            <w:u w:val="single"/>
          </w:rPr>
          <w:t>Nexstar Broadcasting Group</w:t>
        </w:r>
      </w:hyperlink>
      <w:r w:rsidR="00880550" w:rsidRPr="00122619">
        <w:rPr>
          <w:rFonts w:ascii="Arial" w:eastAsia="Calibri" w:hAnsi="Arial" w:cs="Arial"/>
          <w:sz w:val="22"/>
          <w:szCs w:val="19"/>
        </w:rPr>
        <w:t xml:space="preserve"> is a leading diversified media company that leverages localism to bring new services and value to consumers and advertisers through its traditional media, digital and mobile media platforms. Nexstar owns, operates, programs or provides sales and other services to 10</w:t>
      </w:r>
      <w:r w:rsidR="00EF7480">
        <w:rPr>
          <w:rFonts w:ascii="Arial" w:eastAsia="Calibri" w:hAnsi="Arial" w:cs="Arial"/>
          <w:sz w:val="22"/>
          <w:szCs w:val="19"/>
        </w:rPr>
        <w:t>4</w:t>
      </w:r>
      <w:r w:rsidR="00880550" w:rsidRPr="00122619">
        <w:rPr>
          <w:rFonts w:ascii="Arial" w:eastAsia="Calibri" w:hAnsi="Arial" w:cs="Arial"/>
          <w:sz w:val="22"/>
          <w:szCs w:val="19"/>
        </w:rPr>
        <w:t xml:space="preserve"> full power television stations reaching 62 markets or approximately 18.1% of all U.S. television households. Nexstar’s portfolio includes primary affiliates of NBC, CBS, ABC, FOX, </w:t>
      </w:r>
      <w:proofErr w:type="spellStart"/>
      <w:r w:rsidR="00880550" w:rsidRPr="00122619">
        <w:rPr>
          <w:rFonts w:ascii="Arial" w:eastAsia="Calibri" w:hAnsi="Arial" w:cs="Arial"/>
          <w:sz w:val="22"/>
          <w:szCs w:val="19"/>
        </w:rPr>
        <w:t>MyNetworkTV</w:t>
      </w:r>
      <w:proofErr w:type="spellEnd"/>
      <w:r w:rsidR="00880550" w:rsidRPr="00122619">
        <w:rPr>
          <w:rFonts w:ascii="Arial" w:eastAsia="Calibri" w:hAnsi="Arial" w:cs="Arial"/>
          <w:sz w:val="22"/>
          <w:szCs w:val="19"/>
        </w:rPr>
        <w:t xml:space="preserve"> and The CW. Nexstar’s community portal websites offer additional hyper-local content and verticals for consumers and advertisers, allowing audiences to choose where, when and how they access content while creating new revenue opportunities.</w:t>
      </w:r>
    </w:p>
    <w:p w:rsidR="00122619" w:rsidRDefault="00E05E0E" w:rsidP="00122619">
      <w:pPr>
        <w:spacing w:line="264" w:lineRule="auto"/>
        <w:jc w:val="center"/>
        <w:rPr>
          <w:rFonts w:ascii="Arial" w:hAnsi="Arial" w:cs="Arial"/>
          <w:sz w:val="22"/>
        </w:rPr>
      </w:pPr>
    </w:p>
    <w:p w:rsidR="00122619" w:rsidRDefault="00880550" w:rsidP="00122619">
      <w:pPr>
        <w:spacing w:line="264" w:lineRule="auto"/>
        <w:jc w:val="center"/>
        <w:rPr>
          <w:rFonts w:ascii="Arial" w:hAnsi="Arial" w:cs="Arial"/>
          <w:sz w:val="22"/>
        </w:rPr>
      </w:pPr>
      <w:r>
        <w:rPr>
          <w:rFonts w:ascii="Arial" w:hAnsi="Arial" w:cs="Arial"/>
          <w:sz w:val="22"/>
        </w:rPr>
        <w:t>-</w:t>
      </w:r>
      <w:proofErr w:type="gramStart"/>
      <w:r>
        <w:rPr>
          <w:rFonts w:ascii="Arial" w:hAnsi="Arial" w:cs="Arial"/>
          <w:sz w:val="22"/>
        </w:rPr>
        <w:t>more</w:t>
      </w:r>
      <w:proofErr w:type="gramEnd"/>
      <w:r>
        <w:rPr>
          <w:rFonts w:ascii="Arial" w:hAnsi="Arial" w:cs="Arial"/>
          <w:sz w:val="22"/>
        </w:rPr>
        <w:t>-</w:t>
      </w:r>
    </w:p>
    <w:p w:rsidR="00122619" w:rsidRDefault="00E05E0E">
      <w:pPr>
        <w:rPr>
          <w:rFonts w:ascii="Arial" w:eastAsia="Calibri" w:hAnsi="Arial" w:cs="Arial"/>
          <w:sz w:val="22"/>
          <w:szCs w:val="19"/>
        </w:rPr>
      </w:pPr>
    </w:p>
    <w:p w:rsidR="009626E7" w:rsidRDefault="00880550">
      <w:pPr>
        <w:rPr>
          <w:rFonts w:ascii="Arial" w:hAnsi="Arial" w:cs="Arial"/>
          <w:b/>
          <w:bCs/>
          <w:sz w:val="22"/>
        </w:rPr>
      </w:pPr>
      <w:r>
        <w:rPr>
          <w:rFonts w:ascii="Arial" w:hAnsi="Arial" w:cs="Arial"/>
          <w:b/>
          <w:bCs/>
          <w:sz w:val="22"/>
        </w:rPr>
        <w:br w:type="page"/>
      </w:r>
    </w:p>
    <w:p w:rsidR="00167D75" w:rsidRDefault="00880550" w:rsidP="00167D75">
      <w:pPr>
        <w:spacing w:line="264" w:lineRule="auto"/>
        <w:rPr>
          <w:rFonts w:ascii="Arial" w:hAnsi="Arial" w:cs="Arial"/>
          <w:sz w:val="22"/>
        </w:rPr>
      </w:pPr>
      <w:r>
        <w:rPr>
          <w:rFonts w:ascii="Arial" w:hAnsi="Arial" w:cs="Arial"/>
          <w:b/>
          <w:bCs/>
          <w:sz w:val="22"/>
        </w:rPr>
        <w:lastRenderedPageBreak/>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6</w:t>
      </w:r>
    </w:p>
    <w:p w:rsidR="00167D75" w:rsidRDefault="00E05E0E" w:rsidP="00122619">
      <w:pPr>
        <w:spacing w:line="264" w:lineRule="auto"/>
        <w:jc w:val="both"/>
        <w:rPr>
          <w:rFonts w:ascii="Arial" w:eastAsia="Calibri" w:hAnsi="Arial" w:cs="Arial"/>
          <w:sz w:val="22"/>
          <w:szCs w:val="19"/>
        </w:rPr>
      </w:pPr>
    </w:p>
    <w:p w:rsidR="000956EA" w:rsidRDefault="00880550" w:rsidP="00A51A06">
      <w:pPr>
        <w:spacing w:line="264" w:lineRule="auto"/>
        <w:jc w:val="both"/>
        <w:rPr>
          <w:rFonts w:ascii="Arial" w:hAnsi="Arial"/>
        </w:rPr>
      </w:pPr>
      <w:r w:rsidRPr="00122619">
        <w:rPr>
          <w:rFonts w:ascii="Arial" w:eastAsia="Calibri" w:hAnsi="Arial" w:cs="Arial"/>
          <w:sz w:val="22"/>
          <w:szCs w:val="19"/>
        </w:rPr>
        <w:t>Pro-forma for the completion of all announced transactions Nexstar will own, operate, program or provide sales and other services to 171 television stations and their related low power and digital multicast signals reaching 100 markets or approximately 39% of all U.S. television households. For more information please visit www.nexstar.tv.</w:t>
      </w:r>
    </w:p>
    <w:p w:rsidR="000956EA" w:rsidRDefault="00E05E0E" w:rsidP="000956EA">
      <w:pPr>
        <w:spacing w:line="264" w:lineRule="auto"/>
        <w:jc w:val="center"/>
        <w:rPr>
          <w:rFonts w:ascii="Arial" w:hAnsi="Arial" w:cs="Arial"/>
          <w:sz w:val="22"/>
        </w:rPr>
      </w:pPr>
    </w:p>
    <w:p w:rsidR="00767DCD" w:rsidRPr="0065290E" w:rsidRDefault="00880550" w:rsidP="0065290E">
      <w:pPr>
        <w:pStyle w:val="BodyTextIndent"/>
        <w:suppressAutoHyphens/>
        <w:spacing w:line="264" w:lineRule="auto"/>
        <w:jc w:val="both"/>
        <w:rPr>
          <w:rFonts w:ascii="Arial" w:hAnsi="Arial" w:cs="Arial"/>
          <w:b/>
          <w:bCs/>
          <w:sz w:val="22"/>
        </w:rPr>
      </w:pPr>
      <w:r w:rsidRPr="0065290E">
        <w:rPr>
          <w:rFonts w:ascii="Arial" w:hAnsi="Arial" w:cs="Arial"/>
          <w:b/>
          <w:bCs/>
          <w:sz w:val="22"/>
        </w:rPr>
        <w:t>Additional Information</w:t>
      </w:r>
    </w:p>
    <w:p w:rsidR="00767DCD" w:rsidRPr="0065290E" w:rsidRDefault="00880550" w:rsidP="0065290E">
      <w:pPr>
        <w:spacing w:line="264" w:lineRule="auto"/>
        <w:jc w:val="both"/>
        <w:rPr>
          <w:rFonts w:ascii="Arial" w:eastAsia="Calibri" w:hAnsi="Arial" w:cs="Arial"/>
          <w:sz w:val="22"/>
          <w:szCs w:val="19"/>
        </w:rPr>
      </w:pPr>
      <w:r w:rsidRPr="0065290E">
        <w:rPr>
          <w:rFonts w:ascii="Arial" w:eastAsia="Calibri" w:hAnsi="Arial" w:cs="Arial"/>
          <w:sz w:val="22"/>
          <w:szCs w:val="19"/>
        </w:rPr>
        <w:t xml:space="preserve">This communication does not constitute an offer to buy or solicitation of an offer to sell any securities. In connection with the Agreement and Plan of Merger, by and between Nexstar Broadcasting Group, Inc. (“Nexstar”), Media General, Inc. (“Media General”) and Neptune Merger Sub, Inc.  (“Merger Sub”), Nexstar and Media General intend to file relevant materials with the U.S. Securities and Exchange Commission (“SEC”), including a Registration Statement on Form S-4 to be filed by Nexstar that will contain a joint proxy statement/prospectus. INVESTORS AND SECURITY HOLDERS OF NEXSTAR AND MEDIA GENERAL ARE URGED TO READ THE REGISTRATION STATEMENT, PROXY STATEMENT/PROSPECTUS AND OTHER DOCUMENTS FILED WITH THE SEC CAREFULLY IN THEIR ENTIRETY WHEN THEY BECOME AVAILABLE AS THEY WILL CONTAIN IMPORTANT INFORMATION ABOUT THE PROPOSED TRANSACTION. Investors and security holders will be able to obtain free copies of these documents (when available) and other documents filed with the SEC by Nexstar or Media General through the web site maintained by the SEC at </w:t>
      </w:r>
      <w:hyperlink r:id="rId15" w:history="1">
        <w:r w:rsidRPr="0065290E">
          <w:rPr>
            <w:rFonts w:ascii="Arial" w:eastAsia="Calibri" w:hAnsi="Arial" w:cs="Arial"/>
            <w:sz w:val="22"/>
            <w:szCs w:val="19"/>
          </w:rPr>
          <w:t>http://www.sec.gov</w:t>
        </w:r>
      </w:hyperlink>
      <w:r w:rsidRPr="0065290E">
        <w:rPr>
          <w:rFonts w:ascii="Arial" w:eastAsia="Calibri" w:hAnsi="Arial" w:cs="Arial"/>
          <w:sz w:val="22"/>
          <w:szCs w:val="19"/>
        </w:rPr>
        <w:t xml:space="preserve">.  In addition, the joint proxy statement/prospectus (when finalized) will be mailed to stockholders of Nexstar and Media General. </w:t>
      </w:r>
    </w:p>
    <w:p w:rsidR="00767DCD" w:rsidRDefault="00E05E0E" w:rsidP="00767DCD">
      <w:pPr>
        <w:pStyle w:val="NoSpacing"/>
        <w:jc w:val="both"/>
        <w:rPr>
          <w:b/>
          <w:bCs/>
        </w:rPr>
      </w:pPr>
    </w:p>
    <w:p w:rsidR="00767DCD" w:rsidRPr="0065290E" w:rsidRDefault="00880550" w:rsidP="0065290E">
      <w:pPr>
        <w:pStyle w:val="BodyTextIndent"/>
        <w:suppressAutoHyphens/>
        <w:spacing w:line="264" w:lineRule="auto"/>
        <w:jc w:val="both"/>
        <w:rPr>
          <w:rFonts w:ascii="Arial" w:hAnsi="Arial" w:cs="Arial"/>
          <w:b/>
          <w:bCs/>
          <w:sz w:val="22"/>
        </w:rPr>
      </w:pPr>
      <w:r w:rsidRPr="0065290E">
        <w:rPr>
          <w:rFonts w:ascii="Arial" w:hAnsi="Arial" w:cs="Arial"/>
          <w:b/>
          <w:bCs/>
          <w:sz w:val="22"/>
        </w:rPr>
        <w:t>Certain Information Regarding Participants</w:t>
      </w:r>
    </w:p>
    <w:p w:rsidR="00767DCD" w:rsidRPr="0065290E" w:rsidRDefault="00880550" w:rsidP="0065290E">
      <w:pPr>
        <w:spacing w:line="264" w:lineRule="auto"/>
        <w:jc w:val="both"/>
        <w:rPr>
          <w:rFonts w:ascii="Arial" w:eastAsia="Calibri" w:hAnsi="Arial" w:cs="Arial"/>
          <w:sz w:val="22"/>
          <w:szCs w:val="19"/>
        </w:rPr>
      </w:pPr>
      <w:r w:rsidRPr="0065290E">
        <w:rPr>
          <w:rFonts w:ascii="Arial" w:eastAsia="Calibri" w:hAnsi="Arial" w:cs="Arial"/>
          <w:sz w:val="22"/>
          <w:szCs w:val="19"/>
        </w:rPr>
        <w:t>Nexstar and Media General and their respective directors and executive officers may be deemed to be participants in any solicitation with respect to the proposed transaction under the rules of the SEC. Security holders may obtain information regarding the names and interests of Nexstar’s directors and executive officers in Nexstar’s Annual Report on Form 10-K for the year ended December 31, 2014, which was filed with the SEC on March 2, 2015, and Nexstar’s proxy statement for the 2015 Annual Meeting of Stockholders, which was filed with the SEC on April 24, 2015. Information about Media General’s directors and executive officers is available in Media General’s definitive proxy statement, dated March 13, 2015, for its 2015 annual meeting of shareholders. These documents can be obtained free of charge from the web site indicated above. Additional information regarding the participants and a description of their direct and indirect interests, by security holdings or otherwise, will be contained in the Form S-4 and the joint proxy statement/prospectus that Nexstar will file with the SEC when it becomes available.</w:t>
      </w:r>
    </w:p>
    <w:p w:rsidR="00767DCD" w:rsidRDefault="00E05E0E" w:rsidP="00767DCD">
      <w:pPr>
        <w:pStyle w:val="NoSpacing"/>
        <w:jc w:val="both"/>
      </w:pPr>
    </w:p>
    <w:p w:rsidR="00767DCD" w:rsidRPr="0065290E" w:rsidRDefault="00880550" w:rsidP="0065290E">
      <w:pPr>
        <w:pStyle w:val="BodyTextIndent"/>
        <w:suppressAutoHyphens/>
        <w:spacing w:line="264" w:lineRule="auto"/>
        <w:jc w:val="both"/>
        <w:rPr>
          <w:rFonts w:ascii="Arial" w:hAnsi="Arial" w:cs="Arial"/>
          <w:b/>
          <w:bCs/>
          <w:sz w:val="22"/>
        </w:rPr>
      </w:pPr>
      <w:r w:rsidRPr="0065290E">
        <w:rPr>
          <w:rFonts w:ascii="Arial" w:hAnsi="Arial" w:cs="Arial"/>
          <w:b/>
          <w:bCs/>
          <w:sz w:val="22"/>
        </w:rPr>
        <w:t>Forward-Looking Statements</w:t>
      </w:r>
    </w:p>
    <w:p w:rsidR="00DD456E" w:rsidRDefault="00880550" w:rsidP="0065290E">
      <w:pPr>
        <w:spacing w:line="264" w:lineRule="auto"/>
        <w:jc w:val="both"/>
        <w:rPr>
          <w:rFonts w:ascii="Arial" w:eastAsia="Calibri" w:hAnsi="Arial" w:cs="Arial"/>
          <w:sz w:val="22"/>
          <w:szCs w:val="19"/>
        </w:rPr>
      </w:pPr>
      <w:r w:rsidRPr="0065290E">
        <w:rPr>
          <w:rFonts w:ascii="Arial" w:eastAsia="Calibri" w:hAnsi="Arial" w:cs="Arial"/>
          <w:sz w:val="22"/>
          <w:szCs w:val="19"/>
        </w:rPr>
        <w:t xml:space="preserve">This communication includes forward-looking statements. We have based these forward-looking statements on our current expectations and projections about future events. Forward-looking statements include information </w:t>
      </w:r>
      <w:proofErr w:type="gramStart"/>
      <w:r w:rsidRPr="0065290E">
        <w:rPr>
          <w:rFonts w:ascii="Arial" w:eastAsia="Calibri" w:hAnsi="Arial" w:cs="Arial"/>
          <w:sz w:val="22"/>
          <w:szCs w:val="19"/>
        </w:rPr>
        <w:t>preceded</w:t>
      </w:r>
      <w:proofErr w:type="gramEnd"/>
      <w:r w:rsidRPr="0065290E">
        <w:rPr>
          <w:rFonts w:ascii="Arial" w:eastAsia="Calibri" w:hAnsi="Arial" w:cs="Arial"/>
          <w:sz w:val="22"/>
          <w:szCs w:val="19"/>
        </w:rPr>
        <w:t xml:space="preserve"> by, followed by, or that includes the words "guidance," "believes," "expects," "anticipates," "could," or similar expressions. For these statements, Nexstar claims the protection of the safe harbor for forward-looking statements contained in the Private Securities Litigation Reform Act of 1995. The forward-looking statements contained in this communication, concerning, among other things, the ultimate outcome and benefits of any possible transaction between Nexstar and Media General and timing thereof, and future financial performance, including changes in net revenue, cash flow and operating expenses, </w:t>
      </w:r>
    </w:p>
    <w:p w:rsidR="00DD456E" w:rsidRDefault="00880550" w:rsidP="00DD456E">
      <w:pPr>
        <w:spacing w:line="264" w:lineRule="auto"/>
        <w:jc w:val="center"/>
        <w:rPr>
          <w:rFonts w:ascii="Arial" w:hAnsi="Arial" w:cs="Arial"/>
          <w:sz w:val="22"/>
        </w:rPr>
      </w:pPr>
      <w:r>
        <w:rPr>
          <w:rFonts w:ascii="Arial" w:hAnsi="Arial" w:cs="Arial"/>
          <w:sz w:val="22"/>
        </w:rPr>
        <w:t>-</w:t>
      </w:r>
      <w:proofErr w:type="gramStart"/>
      <w:r>
        <w:rPr>
          <w:rFonts w:ascii="Arial" w:hAnsi="Arial" w:cs="Arial"/>
          <w:sz w:val="22"/>
        </w:rPr>
        <w:t>more</w:t>
      </w:r>
      <w:proofErr w:type="gramEnd"/>
      <w:r>
        <w:rPr>
          <w:rFonts w:ascii="Arial" w:hAnsi="Arial" w:cs="Arial"/>
          <w:sz w:val="22"/>
        </w:rPr>
        <w:t>-</w:t>
      </w:r>
    </w:p>
    <w:p w:rsidR="00DD456E" w:rsidRDefault="00E05E0E" w:rsidP="00DD456E">
      <w:pPr>
        <w:rPr>
          <w:rFonts w:ascii="Arial" w:eastAsia="Calibri" w:hAnsi="Arial" w:cs="Arial"/>
          <w:sz w:val="22"/>
          <w:szCs w:val="19"/>
        </w:rPr>
      </w:pPr>
    </w:p>
    <w:p w:rsidR="00DD456E" w:rsidRDefault="00880550">
      <w:pPr>
        <w:rPr>
          <w:rFonts w:ascii="Arial" w:hAnsi="Arial" w:cs="Arial"/>
          <w:b/>
          <w:bCs/>
          <w:sz w:val="22"/>
        </w:rPr>
      </w:pPr>
      <w:r>
        <w:rPr>
          <w:rFonts w:ascii="Arial" w:hAnsi="Arial" w:cs="Arial"/>
          <w:b/>
          <w:bCs/>
          <w:sz w:val="22"/>
        </w:rPr>
        <w:br w:type="page"/>
      </w:r>
    </w:p>
    <w:p w:rsidR="00DD456E" w:rsidRDefault="00880550" w:rsidP="00DD456E">
      <w:pPr>
        <w:spacing w:line="264" w:lineRule="auto"/>
        <w:rPr>
          <w:rFonts w:ascii="Arial" w:hAnsi="Arial" w:cs="Arial"/>
          <w:sz w:val="22"/>
        </w:rPr>
      </w:pPr>
      <w:r>
        <w:rPr>
          <w:rFonts w:ascii="Arial" w:hAnsi="Arial" w:cs="Arial"/>
          <w:b/>
          <w:bCs/>
          <w:sz w:val="22"/>
        </w:rPr>
        <w:lastRenderedPageBreak/>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7</w:t>
      </w:r>
    </w:p>
    <w:p w:rsidR="00DD456E" w:rsidRDefault="00E05E0E" w:rsidP="00DD456E">
      <w:pPr>
        <w:spacing w:line="264" w:lineRule="auto"/>
        <w:rPr>
          <w:rFonts w:ascii="Arial" w:hAnsi="Arial" w:cs="Arial"/>
          <w:sz w:val="22"/>
        </w:rPr>
      </w:pPr>
    </w:p>
    <w:p w:rsidR="00767DCD" w:rsidRPr="0065290E" w:rsidRDefault="00880550" w:rsidP="00E83BE0">
      <w:pPr>
        <w:spacing w:line="264" w:lineRule="auto"/>
        <w:jc w:val="both"/>
        <w:rPr>
          <w:rFonts w:ascii="Arial" w:eastAsia="Calibri" w:hAnsi="Arial" w:cs="Arial"/>
          <w:sz w:val="22"/>
          <w:szCs w:val="19"/>
        </w:rPr>
      </w:pPr>
      <w:r w:rsidRPr="0065290E">
        <w:rPr>
          <w:rFonts w:ascii="Arial" w:eastAsia="Calibri" w:hAnsi="Arial" w:cs="Arial"/>
          <w:sz w:val="22"/>
          <w:szCs w:val="19"/>
        </w:rPr>
        <w:t>involve risks and uncertainties, and are subject to change based on various important factors, including the timing to consummate the proposed transaction; the risk that a condition to closing of the proposed transaction may not be satisfied and the transaction may not close; the risk that a regulatory approval that may be required for the proposed transaction is delayed, is not obtained or is obtained subject to conditions that are not anticipated, the impact of changes in national and regional economies, the ability to service and refinance our outstanding debt, successful integration of Media General (including achievement of synergies and cost reductions), pricing fluctuations in local and national advertising, future regulatory actions and conditions in the television stations' operating areas, competition from others in the broadcast television markets, volatility in programming costs, the effects of governmental regulation of broadcasting, industry consolidation, technological developments and major world news events. Unless required by law, Nexstar undertakes no obligation to update or revise any forward-looking statements, whether as a result of new information, future events or otherwise. In light of these risks, uncertainties and assumptions, the forward-looking events discussed in this communication might not occur. You should not place undue reliance on these forward-looking statements, which speak only as of the date of this release. For more details on factors that could affect these expectations, please see Media General’s and Nexstar’s filings with the Securities and Exchange Commission.</w:t>
      </w:r>
    </w:p>
    <w:p w:rsidR="00767DCD" w:rsidRPr="0065290E" w:rsidRDefault="00E05E0E" w:rsidP="0065290E">
      <w:pPr>
        <w:spacing w:line="264" w:lineRule="auto"/>
        <w:jc w:val="both"/>
        <w:rPr>
          <w:rFonts w:ascii="Arial" w:eastAsia="Calibri" w:hAnsi="Arial" w:cs="Arial"/>
          <w:sz w:val="22"/>
          <w:szCs w:val="19"/>
        </w:rPr>
      </w:pPr>
    </w:p>
    <w:p w:rsidR="000956EA" w:rsidRDefault="00E05E0E" w:rsidP="000956EA">
      <w:pPr>
        <w:pStyle w:val="BalloonText"/>
        <w:rPr>
          <w:rFonts w:ascii="Arial" w:hAnsi="Arial"/>
          <w:szCs w:val="20"/>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5238"/>
        <w:gridCol w:w="4338"/>
      </w:tblGrid>
      <w:tr w:rsidR="000E308C" w:rsidTr="000956EA">
        <w:tc>
          <w:tcPr>
            <w:tcW w:w="5238" w:type="dxa"/>
          </w:tcPr>
          <w:p w:rsidR="000956EA" w:rsidRPr="0027766A" w:rsidRDefault="00880550" w:rsidP="000956EA">
            <w:pPr>
              <w:jc w:val="both"/>
              <w:rPr>
                <w:rFonts w:ascii="Arial" w:hAnsi="Arial"/>
                <w:b/>
                <w:sz w:val="22"/>
              </w:rPr>
            </w:pPr>
            <w:r w:rsidRPr="0027766A">
              <w:rPr>
                <w:rFonts w:ascii="Arial" w:hAnsi="Arial"/>
                <w:b/>
                <w:sz w:val="22"/>
              </w:rPr>
              <w:t>Contact:</w:t>
            </w:r>
          </w:p>
        </w:tc>
        <w:tc>
          <w:tcPr>
            <w:tcW w:w="4338" w:type="dxa"/>
          </w:tcPr>
          <w:p w:rsidR="000956EA" w:rsidRPr="0027766A" w:rsidRDefault="00E05E0E" w:rsidP="000956EA">
            <w:pPr>
              <w:jc w:val="both"/>
              <w:rPr>
                <w:rFonts w:ascii="Arial" w:hAnsi="Arial"/>
                <w:b/>
                <w:sz w:val="22"/>
              </w:rPr>
            </w:pPr>
          </w:p>
        </w:tc>
      </w:tr>
      <w:tr w:rsidR="000E308C" w:rsidTr="000956EA">
        <w:tc>
          <w:tcPr>
            <w:tcW w:w="5238" w:type="dxa"/>
          </w:tcPr>
          <w:p w:rsidR="000956EA" w:rsidRPr="0027766A" w:rsidRDefault="00880550" w:rsidP="000956EA">
            <w:pPr>
              <w:jc w:val="both"/>
              <w:rPr>
                <w:rFonts w:ascii="Arial" w:hAnsi="Arial"/>
                <w:sz w:val="22"/>
              </w:rPr>
            </w:pPr>
            <w:r w:rsidRPr="0027766A">
              <w:rPr>
                <w:rFonts w:ascii="Arial" w:hAnsi="Arial"/>
                <w:sz w:val="22"/>
              </w:rPr>
              <w:t>Thomas E. Carter</w:t>
            </w:r>
          </w:p>
        </w:tc>
        <w:tc>
          <w:tcPr>
            <w:tcW w:w="4338" w:type="dxa"/>
          </w:tcPr>
          <w:p w:rsidR="000956EA" w:rsidRPr="0027766A" w:rsidRDefault="00880550" w:rsidP="000956EA">
            <w:pPr>
              <w:jc w:val="both"/>
              <w:rPr>
                <w:rFonts w:ascii="Arial" w:hAnsi="Arial"/>
                <w:sz w:val="22"/>
              </w:rPr>
            </w:pPr>
            <w:r w:rsidRPr="0027766A">
              <w:rPr>
                <w:rFonts w:ascii="Arial" w:hAnsi="Arial"/>
                <w:sz w:val="22"/>
              </w:rPr>
              <w:t xml:space="preserve">Joseph Jaffoni, Jennifer </w:t>
            </w:r>
            <w:proofErr w:type="spellStart"/>
            <w:r w:rsidRPr="0027766A">
              <w:rPr>
                <w:rFonts w:ascii="Arial" w:hAnsi="Arial"/>
                <w:sz w:val="22"/>
              </w:rPr>
              <w:t>Neuman</w:t>
            </w:r>
            <w:proofErr w:type="spellEnd"/>
          </w:p>
        </w:tc>
      </w:tr>
      <w:tr w:rsidR="000E308C" w:rsidTr="000956EA">
        <w:tc>
          <w:tcPr>
            <w:tcW w:w="5238" w:type="dxa"/>
          </w:tcPr>
          <w:p w:rsidR="000956EA" w:rsidRPr="0027766A" w:rsidRDefault="00880550" w:rsidP="000956EA">
            <w:pPr>
              <w:jc w:val="both"/>
              <w:rPr>
                <w:rFonts w:ascii="Arial" w:hAnsi="Arial"/>
                <w:sz w:val="22"/>
              </w:rPr>
            </w:pPr>
            <w:r w:rsidRPr="0027766A">
              <w:rPr>
                <w:rFonts w:ascii="Arial" w:hAnsi="Arial"/>
                <w:sz w:val="22"/>
              </w:rPr>
              <w:t>Chief Financial Officer</w:t>
            </w:r>
          </w:p>
        </w:tc>
        <w:tc>
          <w:tcPr>
            <w:tcW w:w="4338" w:type="dxa"/>
          </w:tcPr>
          <w:p w:rsidR="000956EA" w:rsidRPr="0027766A" w:rsidRDefault="00880550" w:rsidP="000956EA">
            <w:pPr>
              <w:jc w:val="both"/>
              <w:rPr>
                <w:rFonts w:ascii="Arial" w:hAnsi="Arial"/>
                <w:sz w:val="22"/>
              </w:rPr>
            </w:pPr>
            <w:r w:rsidRPr="0027766A">
              <w:rPr>
                <w:rFonts w:ascii="Arial" w:hAnsi="Arial"/>
                <w:sz w:val="22"/>
              </w:rPr>
              <w:t>JCIR</w:t>
            </w:r>
          </w:p>
        </w:tc>
      </w:tr>
      <w:tr w:rsidR="000E308C" w:rsidTr="000956EA">
        <w:tc>
          <w:tcPr>
            <w:tcW w:w="5238" w:type="dxa"/>
          </w:tcPr>
          <w:p w:rsidR="000956EA" w:rsidRPr="0027766A" w:rsidRDefault="00880550" w:rsidP="000956EA">
            <w:pPr>
              <w:jc w:val="both"/>
              <w:rPr>
                <w:rFonts w:ascii="Arial" w:hAnsi="Arial"/>
                <w:sz w:val="22"/>
              </w:rPr>
            </w:pPr>
            <w:r w:rsidRPr="0027766A">
              <w:rPr>
                <w:rFonts w:ascii="Arial" w:hAnsi="Arial"/>
                <w:sz w:val="22"/>
              </w:rPr>
              <w:t>Nexstar Broadcasting Group, Inc.</w:t>
            </w:r>
          </w:p>
        </w:tc>
        <w:tc>
          <w:tcPr>
            <w:tcW w:w="4338" w:type="dxa"/>
          </w:tcPr>
          <w:p w:rsidR="000956EA" w:rsidRPr="0027766A" w:rsidRDefault="00880550" w:rsidP="000956EA">
            <w:pPr>
              <w:jc w:val="both"/>
              <w:rPr>
                <w:rFonts w:ascii="Arial" w:hAnsi="Arial"/>
                <w:sz w:val="22"/>
              </w:rPr>
            </w:pPr>
            <w:r w:rsidRPr="0027766A">
              <w:rPr>
                <w:rFonts w:ascii="Arial" w:hAnsi="Arial"/>
                <w:sz w:val="22"/>
              </w:rPr>
              <w:t>212/835-8500 or</w:t>
            </w:r>
            <w:r w:rsidRPr="0027766A">
              <w:rPr>
                <w:rFonts w:ascii="Arial" w:hAnsi="Arial" w:cs="Arial"/>
                <w:sz w:val="22"/>
              </w:rPr>
              <w:t xml:space="preserve"> </w:t>
            </w:r>
            <w:hyperlink r:id="rId16" w:history="1">
              <w:r w:rsidRPr="0027766A">
                <w:rPr>
                  <w:rStyle w:val="Hyperlink"/>
                  <w:rFonts w:ascii="Arial" w:hAnsi="Arial" w:cs="Arial"/>
                  <w:sz w:val="22"/>
                </w:rPr>
                <w:t>nxst@jcir.com</w:t>
              </w:r>
            </w:hyperlink>
          </w:p>
        </w:tc>
      </w:tr>
      <w:tr w:rsidR="000E308C" w:rsidTr="000956EA">
        <w:tc>
          <w:tcPr>
            <w:tcW w:w="5238" w:type="dxa"/>
          </w:tcPr>
          <w:p w:rsidR="000956EA" w:rsidRDefault="00880550" w:rsidP="000956EA">
            <w:pPr>
              <w:jc w:val="both"/>
              <w:rPr>
                <w:rFonts w:ascii="Arial" w:hAnsi="Arial"/>
                <w:sz w:val="22"/>
              </w:rPr>
            </w:pPr>
            <w:r w:rsidRPr="0027766A">
              <w:rPr>
                <w:rFonts w:ascii="Arial" w:hAnsi="Arial"/>
                <w:sz w:val="22"/>
              </w:rPr>
              <w:t>972/373-8800</w:t>
            </w:r>
          </w:p>
        </w:tc>
        <w:tc>
          <w:tcPr>
            <w:tcW w:w="4338" w:type="dxa"/>
          </w:tcPr>
          <w:p w:rsidR="000956EA" w:rsidRDefault="00E05E0E" w:rsidP="000956EA">
            <w:pPr>
              <w:jc w:val="both"/>
              <w:rPr>
                <w:rFonts w:ascii="Arial" w:hAnsi="Arial"/>
                <w:sz w:val="22"/>
              </w:rPr>
            </w:pPr>
          </w:p>
        </w:tc>
      </w:tr>
    </w:tbl>
    <w:p w:rsidR="000956EA" w:rsidRDefault="00E05E0E" w:rsidP="000956EA">
      <w:pPr>
        <w:tabs>
          <w:tab w:val="left" w:pos="5760"/>
        </w:tabs>
        <w:jc w:val="both"/>
        <w:rPr>
          <w:rFonts w:ascii="Arial" w:hAnsi="Arial"/>
          <w:sz w:val="22"/>
        </w:rPr>
      </w:pPr>
    </w:p>
    <w:p w:rsidR="000956EA" w:rsidRDefault="00E05E0E" w:rsidP="000956EA">
      <w:pPr>
        <w:jc w:val="center"/>
        <w:rPr>
          <w:rFonts w:ascii="Arial" w:hAnsi="Arial"/>
          <w:sz w:val="22"/>
        </w:rPr>
      </w:pPr>
    </w:p>
    <w:p w:rsidR="000956EA" w:rsidRDefault="00880550" w:rsidP="000956EA">
      <w:pPr>
        <w:jc w:val="center"/>
        <w:rPr>
          <w:rFonts w:ascii="Arial" w:hAnsi="Arial"/>
          <w:sz w:val="22"/>
        </w:rPr>
      </w:pPr>
      <w:r>
        <w:rPr>
          <w:rFonts w:ascii="Arial" w:hAnsi="Arial"/>
          <w:sz w:val="22"/>
        </w:rPr>
        <w:t>-</w:t>
      </w:r>
      <w:proofErr w:type="gramStart"/>
      <w:r>
        <w:rPr>
          <w:rFonts w:ascii="Arial" w:hAnsi="Arial"/>
          <w:sz w:val="22"/>
        </w:rPr>
        <w:t>tables</w:t>
      </w:r>
      <w:proofErr w:type="gramEnd"/>
      <w:r>
        <w:rPr>
          <w:rFonts w:ascii="Arial" w:hAnsi="Arial"/>
          <w:sz w:val="22"/>
        </w:rPr>
        <w:t xml:space="preserve"> follow-</w:t>
      </w:r>
    </w:p>
    <w:p w:rsidR="000956EA" w:rsidRDefault="00880550" w:rsidP="000956EA">
      <w:pPr>
        <w:spacing w:line="264" w:lineRule="auto"/>
        <w:rPr>
          <w:rFonts w:ascii="Arial" w:hAnsi="Arial" w:cs="Arial"/>
          <w:sz w:val="22"/>
        </w:rPr>
      </w:pPr>
      <w:r>
        <w:rPr>
          <w:rFonts w:ascii="Arial" w:hAnsi="Arial"/>
          <w:sz w:val="22"/>
        </w:rPr>
        <w:br w:type="page"/>
      </w:r>
    </w:p>
    <w:p w:rsidR="00D40926" w:rsidRDefault="00880550" w:rsidP="00D40926">
      <w:pPr>
        <w:spacing w:line="264" w:lineRule="auto"/>
        <w:rPr>
          <w:rFonts w:ascii="Arial" w:hAnsi="Arial" w:cs="Arial"/>
          <w:sz w:val="22"/>
        </w:rPr>
      </w:pPr>
      <w:r>
        <w:rPr>
          <w:rFonts w:ascii="Arial" w:hAnsi="Arial" w:cs="Arial"/>
          <w:b/>
          <w:bCs/>
          <w:sz w:val="22"/>
        </w:rPr>
        <w:lastRenderedPageBreak/>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8</w:t>
      </w:r>
    </w:p>
    <w:p w:rsidR="000956EA" w:rsidRDefault="00E05E0E" w:rsidP="000956EA">
      <w:pPr>
        <w:spacing w:line="264" w:lineRule="auto"/>
        <w:jc w:val="center"/>
        <w:rPr>
          <w:rFonts w:ascii="Arial" w:hAnsi="Arial" w:cs="Arial"/>
          <w:sz w:val="22"/>
        </w:rPr>
      </w:pPr>
    </w:p>
    <w:p w:rsidR="000956EA" w:rsidRDefault="00E05E0E" w:rsidP="000956EA">
      <w:pPr>
        <w:spacing w:line="288" w:lineRule="auto"/>
        <w:jc w:val="both"/>
        <w:rPr>
          <w:rFonts w:ascii="Arial" w:hAnsi="Arial" w:cs="Arial"/>
          <w:color w:val="000000"/>
          <w:sz w:val="22"/>
        </w:rPr>
      </w:pPr>
    </w:p>
    <w:p w:rsidR="000956EA" w:rsidRDefault="00880550" w:rsidP="000956EA">
      <w:pPr>
        <w:jc w:val="center"/>
        <w:rPr>
          <w:rFonts w:ascii="Arial" w:hAnsi="Arial"/>
          <w:sz w:val="22"/>
        </w:rPr>
      </w:pPr>
      <w:r>
        <w:rPr>
          <w:rFonts w:ascii="Arial" w:hAnsi="Arial"/>
          <w:b/>
          <w:color w:val="000000"/>
          <w:sz w:val="22"/>
        </w:rPr>
        <w:t xml:space="preserve">Nexstar Broadcasting Group, Inc. </w:t>
      </w:r>
    </w:p>
    <w:p w:rsidR="000956EA" w:rsidRDefault="00880550" w:rsidP="000956EA">
      <w:pPr>
        <w:jc w:val="center"/>
        <w:rPr>
          <w:rFonts w:ascii="Arial" w:hAnsi="Arial"/>
          <w:sz w:val="22"/>
        </w:rPr>
      </w:pPr>
      <w:r>
        <w:rPr>
          <w:rFonts w:ascii="Arial" w:hAnsi="Arial"/>
          <w:b/>
          <w:color w:val="000000"/>
          <w:sz w:val="22"/>
        </w:rPr>
        <w:t xml:space="preserve">Condensed Consolidated Statements of Operations </w:t>
      </w:r>
      <w:r>
        <w:rPr>
          <w:rFonts w:ascii="Arial" w:hAnsi="Arial"/>
          <w:b/>
          <w:color w:val="000000"/>
          <w:sz w:val="22"/>
        </w:rPr>
        <w:br/>
      </w:r>
      <w:r>
        <w:rPr>
          <w:rFonts w:ascii="Arial" w:hAnsi="Arial"/>
          <w:color w:val="000000"/>
          <w:sz w:val="22"/>
        </w:rPr>
        <w:t>(in thousands, except per share amounts, unaudited)</w:t>
      </w:r>
    </w:p>
    <w:p w:rsidR="000956EA" w:rsidRDefault="00E05E0E" w:rsidP="000956EA">
      <w:pPr>
        <w:spacing w:line="288" w:lineRule="auto"/>
        <w:rPr>
          <w:rFonts w:ascii="Arial" w:hAnsi="Arial" w:cs="Arial"/>
          <w:b/>
          <w:sz w:val="22"/>
        </w:rPr>
      </w:pPr>
    </w:p>
    <w:sdt>
      <w:sdtPr>
        <w:alias w:val="AL-PR_Stmt_Ops - Nexstar_Mission_Marshall_Dec312015"/>
        <w:tag w:val="54f3c2d8-91ee-4b7a-91b7-6fcace7db13e"/>
        <w:id w:val="1225485496"/>
      </w:sdtPr>
      <w:sdtEndPr/>
      <w:sdtContent>
        <w:tbl>
          <w:tblPr>
            <w:tblStyle w:val="TableGrid"/>
            <w:tblW w:w="5000" w:type="pct"/>
            <w:jc w:val="center"/>
            <w:tblBorders>
              <w:top w:val="nil"/>
              <w:left w:val="nil"/>
              <w:bottom w:val="nil"/>
              <w:right w:val="nil"/>
              <w:insideH w:val="nil"/>
              <w:insideV w:val="nil"/>
            </w:tblBorders>
            <w:tblCellMar>
              <w:top w:w="15" w:type="dxa"/>
              <w:left w:w="0" w:type="dxa"/>
              <w:right w:w="15" w:type="dxa"/>
            </w:tblCellMar>
            <w:tblLook w:val="04A0" w:firstRow="1" w:lastRow="0" w:firstColumn="1" w:lastColumn="0" w:noHBand="0" w:noVBand="1"/>
          </w:tblPr>
          <w:tblGrid>
            <w:gridCol w:w="4687"/>
            <w:gridCol w:w="101"/>
            <w:gridCol w:w="116"/>
            <w:gridCol w:w="909"/>
            <w:gridCol w:w="85"/>
            <w:gridCol w:w="102"/>
            <w:gridCol w:w="116"/>
            <w:gridCol w:w="914"/>
            <w:gridCol w:w="85"/>
            <w:gridCol w:w="139"/>
            <w:gridCol w:w="116"/>
            <w:gridCol w:w="666"/>
            <w:gridCol w:w="85"/>
            <w:gridCol w:w="102"/>
            <w:gridCol w:w="116"/>
            <w:gridCol w:w="951"/>
            <w:gridCol w:w="85"/>
          </w:tblGrid>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t xml:space="preserve"> </w:t>
                </w: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1191" w:type="pct"/>
                <w:gridSpan w:val="6"/>
                <w:tcBorders>
                  <w:bottom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Three Months Ended December 31,</w:t>
                </w:r>
              </w:p>
            </w:tc>
            <w:tc>
              <w:tcPr>
                <w:tcW w:w="50" w:type="pct"/>
                <w:shd w:val="clear" w:color="auto" w:fill="auto"/>
                <w:noWrap/>
                <w:tcMar>
                  <w:top w:w="15" w:type="dxa"/>
                  <w:left w:w="0" w:type="dxa"/>
                  <w:bottom w:w="0" w:type="dxa"/>
                  <w:right w:w="15" w:type="dxa"/>
                </w:tcMar>
                <w:vAlign w:val="bottom"/>
              </w:tcPr>
              <w:p w:rsidR="001124D6" w:rsidRDefault="00880550">
                <w:pPr>
                  <w:rPr>
                    <w:rFonts w:ascii="Arial"/>
                    <w:b/>
                    <w:color w:val="000000"/>
                    <w:sz w:val="18"/>
                  </w:rPr>
                </w:pPr>
                <w:r>
                  <w:rPr>
                    <w:rFonts w:ascii="Arial"/>
                    <w:b/>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1065" w:type="pct"/>
                <w:gridSpan w:val="6"/>
                <w:tcBorders>
                  <w:bottom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Twelve Months Ended December 31,</w:t>
                </w:r>
              </w:p>
            </w:tc>
            <w:tc>
              <w:tcPr>
                <w:tcW w:w="50" w:type="pct"/>
                <w:shd w:val="clear" w:color="auto" w:fill="auto"/>
                <w:noWrap/>
                <w:tcMar>
                  <w:top w:w="15" w:type="dxa"/>
                  <w:left w:w="0" w:type="dxa"/>
                  <w:bottom w:w="0" w:type="dxa"/>
                  <w:right w:w="15" w:type="dxa"/>
                </w:tcMar>
                <w:vAlign w:val="bottom"/>
              </w:tcPr>
              <w:p w:rsidR="001124D6" w:rsidRDefault="00880550">
                <w:pPr>
                  <w:rPr>
                    <w:rFonts w:ascii="Arial"/>
                    <w:b/>
                    <w:color w:val="000000"/>
                    <w:sz w:val="18"/>
                  </w:rPr>
                </w:pPr>
                <w:r>
                  <w:rPr>
                    <w:rFonts w:ascii="Arial"/>
                    <w:b/>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40"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2015</w:t>
                </w:r>
              </w:p>
            </w:tc>
            <w:tc>
              <w:tcPr>
                <w:tcW w:w="50" w:type="pct"/>
                <w:shd w:val="clear" w:color="auto" w:fill="auto"/>
                <w:noWrap/>
                <w:tcMar>
                  <w:top w:w="15" w:type="dxa"/>
                  <w:left w:w="0" w:type="dxa"/>
                  <w:bottom w:w="0" w:type="dxa"/>
                  <w:right w:w="15" w:type="dxa"/>
                </w:tcMar>
                <w:vAlign w:val="bottom"/>
              </w:tcPr>
              <w:p w:rsidR="001124D6" w:rsidRDefault="00880550">
                <w:pPr>
                  <w:rPr>
                    <w:rFonts w:ascii="Arial"/>
                    <w:b/>
                    <w:color w:val="000000"/>
                    <w:sz w:val="18"/>
                  </w:rPr>
                </w:pPr>
                <w:r>
                  <w:rPr>
                    <w:rFonts w:ascii="Arial"/>
                    <w:b/>
                    <w:color w:val="000000"/>
                    <w:sz w:val="18"/>
                  </w:rPr>
                  <w:t xml:space="preserve"> </w:t>
                </w:r>
              </w:p>
            </w:tc>
            <w:tc>
              <w:tcPr>
                <w:tcW w:w="59" w:type="pct"/>
                <w:tcBorders>
                  <w:top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 xml:space="preserve"> </w:t>
                </w:r>
              </w:p>
            </w:tc>
            <w:tc>
              <w:tcPr>
                <w:tcW w:w="540"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2014</w:t>
                </w:r>
              </w:p>
            </w:tc>
            <w:tc>
              <w:tcPr>
                <w:tcW w:w="50" w:type="pct"/>
                <w:shd w:val="clear" w:color="auto" w:fill="auto"/>
                <w:noWrap/>
                <w:tcMar>
                  <w:top w:w="15" w:type="dxa"/>
                  <w:left w:w="0" w:type="dxa"/>
                  <w:bottom w:w="0" w:type="dxa"/>
                  <w:right w:w="15" w:type="dxa"/>
                </w:tcMar>
                <w:vAlign w:val="bottom"/>
              </w:tcPr>
              <w:p w:rsidR="001124D6" w:rsidRDefault="00880550">
                <w:pPr>
                  <w:rPr>
                    <w:rFonts w:ascii="Arial"/>
                    <w:b/>
                    <w:color w:val="000000"/>
                    <w:sz w:val="18"/>
                  </w:rPr>
                </w:pPr>
                <w:r>
                  <w:rPr>
                    <w:rFonts w:ascii="Arial"/>
                    <w:b/>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94"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2015</w:t>
                </w:r>
              </w:p>
            </w:tc>
            <w:tc>
              <w:tcPr>
                <w:tcW w:w="50" w:type="pct"/>
                <w:shd w:val="clear" w:color="auto" w:fill="auto"/>
                <w:noWrap/>
                <w:tcMar>
                  <w:top w:w="15" w:type="dxa"/>
                  <w:left w:w="0" w:type="dxa"/>
                  <w:bottom w:w="0" w:type="dxa"/>
                  <w:right w:w="15" w:type="dxa"/>
                </w:tcMar>
                <w:vAlign w:val="bottom"/>
              </w:tcPr>
              <w:p w:rsidR="001124D6" w:rsidRDefault="00880550">
                <w:pPr>
                  <w:rPr>
                    <w:rFonts w:ascii="Arial"/>
                    <w:b/>
                    <w:color w:val="000000"/>
                    <w:sz w:val="18"/>
                  </w:rPr>
                </w:pPr>
                <w:r>
                  <w:rPr>
                    <w:rFonts w:ascii="Arial"/>
                    <w:b/>
                    <w:color w:val="000000"/>
                    <w:sz w:val="18"/>
                  </w:rPr>
                  <w:t xml:space="preserve"> </w:t>
                </w:r>
              </w:p>
            </w:tc>
            <w:tc>
              <w:tcPr>
                <w:tcW w:w="59" w:type="pct"/>
                <w:tcBorders>
                  <w:top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 xml:space="preserve"> </w:t>
                </w:r>
              </w:p>
            </w:tc>
            <w:tc>
              <w:tcPr>
                <w:tcW w:w="560"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pPr>
                  <w:jc w:val="center"/>
                  <w:rPr>
                    <w:rFonts w:ascii="Arial"/>
                    <w:b/>
                    <w:color w:val="000000"/>
                    <w:sz w:val="18"/>
                  </w:rPr>
                </w:pPr>
                <w:r>
                  <w:rPr>
                    <w:rFonts w:ascii="Arial"/>
                    <w:b/>
                    <w:color w:val="000000"/>
                    <w:sz w:val="18"/>
                  </w:rPr>
                  <w:t>2014</w:t>
                </w:r>
              </w:p>
            </w:tc>
            <w:tc>
              <w:tcPr>
                <w:tcW w:w="50" w:type="pct"/>
                <w:shd w:val="clear" w:color="auto" w:fill="auto"/>
                <w:noWrap/>
                <w:tcMar>
                  <w:top w:w="15" w:type="dxa"/>
                  <w:left w:w="0" w:type="dxa"/>
                  <w:bottom w:w="0" w:type="dxa"/>
                  <w:right w:w="15" w:type="dxa"/>
                </w:tcMar>
                <w:vAlign w:val="bottom"/>
              </w:tcPr>
              <w:p w:rsidR="001124D6" w:rsidRDefault="00880550">
                <w:pPr>
                  <w:rPr>
                    <w:rFonts w:ascii="Arial"/>
                    <w:b/>
                    <w:color w:val="000000"/>
                    <w:sz w:val="18"/>
                  </w:rPr>
                </w:pPr>
                <w:r>
                  <w:rPr>
                    <w:rFonts w:ascii="Arial"/>
                    <w:b/>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Net revenue</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rsidP="00F75DB6">
                <w:pPr>
                  <w:jc w:val="right"/>
                  <w:rPr>
                    <w:rFonts w:ascii="Arial"/>
                    <w:color w:val="000000"/>
                    <w:sz w:val="18"/>
                  </w:rPr>
                </w:pPr>
                <w:r>
                  <w:rPr>
                    <w:rFonts w:ascii="Arial"/>
                    <w:color w:val="000000"/>
                    <w:sz w:val="18"/>
                  </w:rPr>
                  <w:t>252,262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192,804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344"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896,377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1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631,311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Operating expenses: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Corporate expenses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11,591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8,889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44,856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35,174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Direct operating expenses, net of trade</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rsidP="00F75DB6">
                <w:pPr>
                  <w:jc w:val="right"/>
                  <w:rPr>
                    <w:rFonts w:ascii="Arial"/>
                    <w:color w:val="000000"/>
                    <w:sz w:val="18"/>
                  </w:rPr>
                </w:pPr>
                <w:r>
                  <w:rPr>
                    <w:rFonts w:ascii="Arial"/>
                    <w:color w:val="000000"/>
                    <w:sz w:val="18"/>
                  </w:rPr>
                  <w:t>79,674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48,960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293,288</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178,781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Selling, general and administrative expenses, excluding corporate</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50,617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38,052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187,624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140,255</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Trade and barter expense</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12,378</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8,874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46,651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31,333</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Depreciation</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11,972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9,247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47,222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35,047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Amortization of intangible assets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12,827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7,153</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48,475</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25,850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274"/>
                  <w:rPr>
                    <w:rFonts w:ascii="Arial"/>
                    <w:color w:val="000000"/>
                    <w:sz w:val="18"/>
                  </w:rPr>
                </w:pPr>
                <w:r>
                  <w:rPr>
                    <w:rFonts w:ascii="Arial"/>
                    <w:color w:val="000000"/>
                    <w:sz w:val="18"/>
                  </w:rPr>
                  <w:t>Amortization of broadcast rights, excluding barter</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5,857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2,730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22,154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11,634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ind w:left="547"/>
                  <w:rPr>
                    <w:rFonts w:ascii="Arial"/>
                    <w:color w:val="000000"/>
                    <w:sz w:val="18"/>
                  </w:rPr>
                </w:pPr>
                <w:r>
                  <w:rPr>
                    <w:rFonts w:ascii="Arial"/>
                    <w:color w:val="000000"/>
                    <w:sz w:val="18"/>
                  </w:rPr>
                  <w:t>Total operating expenses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rsidP="00F75DB6">
                <w:pPr>
                  <w:jc w:val="right"/>
                  <w:rPr>
                    <w:rFonts w:ascii="Arial"/>
                    <w:color w:val="000000"/>
                    <w:sz w:val="18"/>
                  </w:rPr>
                </w:pPr>
                <w:r>
                  <w:rPr>
                    <w:rFonts w:ascii="Arial"/>
                    <w:color w:val="000000"/>
                    <w:sz w:val="18"/>
                  </w:rPr>
                  <w:t>184,916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123,905</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690,270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top w:val="single" w:sz="2" w:space="0" w:color="000000"/>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458,074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Income from operations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67,346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68,899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206,107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173,237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Interest expense, net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(20,440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(15,920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(80,520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(61,959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Other expenses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(134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(129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(517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(627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Income before income taxes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46,772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52,850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125,070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110,651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Income tax expense</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(19,356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(22,001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(48,687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(46,101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Net income</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27,416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30,849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76,383</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top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64,550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 xml:space="preserve">Net (income) loss attributable to </w:t>
                </w:r>
                <w:proofErr w:type="spellStart"/>
                <w:r>
                  <w:rPr>
                    <w:rFonts w:ascii="Arial"/>
                    <w:color w:val="000000"/>
                    <w:sz w:val="18"/>
                  </w:rPr>
                  <w:t>noncontrolling</w:t>
                </w:r>
                <w:proofErr w:type="spellEnd"/>
                <w:r>
                  <w:rPr>
                    <w:rFonts w:ascii="Arial"/>
                    <w:color w:val="000000"/>
                    <w:sz w:val="18"/>
                  </w:rPr>
                  <w:t xml:space="preserve"> interests</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(242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1,301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Net income attributable to Nexstar</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27,174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30,849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344"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77,684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10" w:type="pct"/>
                <w:tcBorders>
                  <w:top w:val="single" w:sz="2" w:space="0" w:color="000000"/>
                  <w:bottom w:val="double" w:sz="6"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64,550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tcBorders>
                  <w:top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Basic net income per common share attributable to Nexstar</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0.89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1.00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2.50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2.10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Basic weighted average number of common shares outstanding</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30,622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30,962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31,100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30,774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keepNext/>
                  <w:rPr>
                    <w:rFonts w:ascii="Arial"/>
                    <w:color w:val="000000"/>
                    <w:sz w:val="18"/>
                  </w:rPr>
                </w:pPr>
                <w:r>
                  <w:rPr>
                    <w:rFonts w:ascii="Arial"/>
                    <w:color w:val="000000"/>
                    <w:sz w:val="18"/>
                  </w:rPr>
                  <w:t>Diluted net income per common share attributable to Nexstar</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0.86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0.96</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2.42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2.02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r>
          <w:tr w:rsidR="000E308C" w:rsidTr="005F6D40">
            <w:trPr>
              <w:cantSplit/>
              <w:jc w:val="center"/>
            </w:trPr>
            <w:tc>
              <w:tcPr>
                <w:tcW w:w="2503"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Diluted weighted average number of common shares outstanding</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31,580</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9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32,102</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7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44"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32,091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9" w:type="pct"/>
                <w:shd w:val="clear" w:color="auto" w:fill="auto"/>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10" w:type="pct"/>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32,003</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2"/>
                  </w:rPr>
                  <w:t xml:space="preserve"> </w:t>
                </w:r>
              </w:p>
            </w:tc>
          </w:tr>
        </w:tbl>
      </w:sdtContent>
    </w:sdt>
    <w:p w:rsidR="00263765" w:rsidRDefault="00E05E0E"/>
    <w:p w:rsidR="000956EA" w:rsidRDefault="00880550" w:rsidP="000956EA">
      <w:pPr>
        <w:pStyle w:val="NormalWeb"/>
        <w:spacing w:before="0" w:after="0"/>
        <w:jc w:val="center"/>
        <w:rPr>
          <w:rFonts w:ascii="Arial" w:hAnsi="Arial"/>
          <w:sz w:val="22"/>
        </w:rPr>
      </w:pPr>
      <w:r>
        <w:rPr>
          <w:rFonts w:ascii="Arial" w:hAnsi="Arial"/>
          <w:sz w:val="22"/>
        </w:rPr>
        <w:t>-</w:t>
      </w:r>
      <w:proofErr w:type="gramStart"/>
      <w:r>
        <w:rPr>
          <w:rFonts w:ascii="Arial" w:hAnsi="Arial"/>
          <w:sz w:val="22"/>
        </w:rPr>
        <w:t>tables</w:t>
      </w:r>
      <w:proofErr w:type="gramEnd"/>
      <w:r>
        <w:rPr>
          <w:rFonts w:ascii="Arial" w:hAnsi="Arial"/>
          <w:sz w:val="22"/>
        </w:rPr>
        <w:t xml:space="preserve"> follow-</w:t>
      </w:r>
    </w:p>
    <w:p w:rsidR="000956EA" w:rsidRDefault="00880550" w:rsidP="000956EA">
      <w:pPr>
        <w:spacing w:line="264" w:lineRule="auto"/>
        <w:rPr>
          <w:rFonts w:ascii="Arial" w:hAnsi="Arial" w:cs="Arial"/>
          <w:sz w:val="22"/>
        </w:rPr>
      </w:pPr>
      <w:r>
        <w:br w:type="page"/>
      </w:r>
    </w:p>
    <w:p w:rsidR="00D40926" w:rsidRDefault="00880550" w:rsidP="00D40926">
      <w:pPr>
        <w:spacing w:line="264" w:lineRule="auto"/>
        <w:rPr>
          <w:rFonts w:ascii="Arial" w:hAnsi="Arial" w:cs="Arial"/>
          <w:sz w:val="22"/>
        </w:rPr>
      </w:pPr>
      <w:r>
        <w:rPr>
          <w:rFonts w:ascii="Arial" w:hAnsi="Arial" w:cs="Arial"/>
          <w:b/>
          <w:bCs/>
          <w:sz w:val="22"/>
        </w:rPr>
        <w:lastRenderedPageBreak/>
        <w:t>Nexstar Broadcasting Group, 2/25/16</w:t>
      </w:r>
      <w:r>
        <w:rPr>
          <w:rFonts w:ascii="Arial" w:hAnsi="Arial" w:cs="Arial"/>
          <w:b/>
          <w:bCs/>
          <w:sz w:val="22"/>
        </w:rPr>
        <w:tab/>
      </w:r>
      <w:r>
        <w:rPr>
          <w:rFonts w:ascii="Arial" w:hAnsi="Arial" w:cs="Arial"/>
          <w:b/>
          <w:bCs/>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9</w:t>
      </w:r>
    </w:p>
    <w:p w:rsidR="00495BCF" w:rsidRDefault="00E05E0E" w:rsidP="000956EA">
      <w:pPr>
        <w:jc w:val="center"/>
        <w:rPr>
          <w:rFonts w:ascii="Arial" w:hAnsi="Arial"/>
          <w:b/>
          <w:color w:val="000000"/>
          <w:sz w:val="20"/>
        </w:rPr>
      </w:pPr>
    </w:p>
    <w:p w:rsidR="000956EA" w:rsidRDefault="00880550" w:rsidP="000956EA">
      <w:pPr>
        <w:jc w:val="center"/>
        <w:rPr>
          <w:rFonts w:ascii="Arial" w:hAnsi="Arial"/>
          <w:b/>
          <w:color w:val="000000"/>
          <w:sz w:val="20"/>
        </w:rPr>
      </w:pPr>
      <w:r>
        <w:rPr>
          <w:rFonts w:ascii="Arial" w:hAnsi="Arial"/>
          <w:b/>
          <w:color w:val="000000"/>
          <w:sz w:val="20"/>
        </w:rPr>
        <w:t>Nexstar Broadcasting Group, Inc.</w:t>
      </w:r>
    </w:p>
    <w:p w:rsidR="000956EA" w:rsidRDefault="00880550" w:rsidP="000956EA">
      <w:pPr>
        <w:jc w:val="center"/>
        <w:rPr>
          <w:rFonts w:ascii="Arial" w:hAnsi="Arial"/>
          <w:b/>
          <w:color w:val="000000"/>
          <w:sz w:val="20"/>
        </w:rPr>
      </w:pPr>
      <w:r>
        <w:rPr>
          <w:rFonts w:ascii="Arial" w:hAnsi="Arial"/>
          <w:b/>
          <w:color w:val="000000"/>
          <w:sz w:val="20"/>
        </w:rPr>
        <w:t>Reconciliation of Broadcast Cash Flow and Adjusted EBITDA (Non-GAAP Measures)</w:t>
      </w:r>
    </w:p>
    <w:p w:rsidR="000956EA" w:rsidRDefault="00880550" w:rsidP="000956EA">
      <w:pPr>
        <w:jc w:val="center"/>
        <w:rPr>
          <w:rFonts w:ascii="Arial" w:hAnsi="Arial"/>
          <w:b/>
          <w:color w:val="000000"/>
          <w:sz w:val="20"/>
        </w:rPr>
      </w:pPr>
      <w:r>
        <w:rPr>
          <w:rFonts w:ascii="Arial" w:hAnsi="Arial"/>
          <w:b/>
          <w:color w:val="000000"/>
          <w:sz w:val="20"/>
        </w:rPr>
        <w:t>UNAUDITED</w:t>
      </w:r>
    </w:p>
    <w:p w:rsidR="000956EA" w:rsidRPr="00AC2CC1" w:rsidRDefault="00880550" w:rsidP="000956EA">
      <w:pPr>
        <w:pStyle w:val="BodyText2"/>
        <w:suppressAutoHyphens/>
        <w:spacing w:line="240" w:lineRule="auto"/>
        <w:jc w:val="center"/>
        <w:rPr>
          <w:rFonts w:ascii="Arial" w:hAnsi="Arial"/>
          <w:snapToGrid w:val="0"/>
          <w:color w:val="000000"/>
          <w:sz w:val="20"/>
        </w:rPr>
      </w:pPr>
      <w:r w:rsidRPr="00AC2CC1">
        <w:rPr>
          <w:rFonts w:ascii="Arial" w:hAnsi="Arial"/>
          <w:snapToGrid w:val="0"/>
          <w:color w:val="000000"/>
          <w:sz w:val="20"/>
        </w:rPr>
        <w:t xml:space="preserve"> (</w:t>
      </w:r>
      <w:proofErr w:type="gramStart"/>
      <w:r w:rsidRPr="00AC2CC1">
        <w:rPr>
          <w:rFonts w:ascii="Arial" w:hAnsi="Arial"/>
          <w:snapToGrid w:val="0"/>
          <w:color w:val="000000"/>
          <w:sz w:val="20"/>
        </w:rPr>
        <w:t>in</w:t>
      </w:r>
      <w:proofErr w:type="gramEnd"/>
      <w:r w:rsidRPr="00AC2CC1">
        <w:rPr>
          <w:rFonts w:ascii="Arial" w:hAnsi="Arial"/>
          <w:snapToGrid w:val="0"/>
          <w:color w:val="000000"/>
          <w:sz w:val="20"/>
        </w:rPr>
        <w:t xml:space="preserve"> thousands)</w:t>
      </w:r>
    </w:p>
    <w:p w:rsidR="000956EA" w:rsidRPr="00AC2CC1" w:rsidRDefault="00E05E0E" w:rsidP="000956EA">
      <w:pPr>
        <w:pStyle w:val="BodyText2"/>
        <w:suppressAutoHyphens/>
        <w:spacing w:line="240" w:lineRule="auto"/>
        <w:jc w:val="center"/>
        <w:rPr>
          <w:rFonts w:ascii="Arial" w:hAnsi="Arial"/>
          <w:snapToGrid w:val="0"/>
          <w:color w:val="000000"/>
          <w:sz w:val="16"/>
          <w:szCs w:val="16"/>
        </w:rPr>
      </w:pPr>
    </w:p>
    <w:sdt>
      <w:sdtPr>
        <w:alias w:val="AL-PR_BCF_EBITDA - Nexstar_Mission_Marshall_Dec312015"/>
        <w:tag w:val="198d0ce8-49b7-43ce-8564-890986e05f11"/>
        <w:id w:val="-729455083"/>
      </w:sdtPr>
      <w:sdtEndPr/>
      <w:sdtContent>
        <w:tbl>
          <w:tblPr>
            <w:tblStyle w:val="TableGrid"/>
            <w:tblW w:w="5000" w:type="pct"/>
            <w:jc w:val="center"/>
            <w:tblBorders>
              <w:top w:val="nil"/>
              <w:left w:val="nil"/>
              <w:bottom w:val="nil"/>
              <w:right w:val="nil"/>
              <w:insideH w:val="nil"/>
              <w:insideV w:val="nil"/>
            </w:tblBorders>
            <w:tblCellMar>
              <w:top w:w="15" w:type="dxa"/>
              <w:left w:w="0" w:type="dxa"/>
              <w:right w:w="15" w:type="dxa"/>
            </w:tblCellMar>
            <w:tblLook w:val="04A0" w:firstRow="1" w:lastRow="0" w:firstColumn="1" w:lastColumn="0" w:noHBand="0" w:noVBand="1"/>
          </w:tblPr>
          <w:tblGrid>
            <w:gridCol w:w="4879"/>
            <w:gridCol w:w="48"/>
            <w:gridCol w:w="116"/>
            <w:gridCol w:w="815"/>
            <w:gridCol w:w="176"/>
            <w:gridCol w:w="48"/>
            <w:gridCol w:w="116"/>
            <w:gridCol w:w="815"/>
            <w:gridCol w:w="176"/>
            <w:gridCol w:w="84"/>
            <w:gridCol w:w="116"/>
            <w:gridCol w:w="666"/>
            <w:gridCol w:w="176"/>
            <w:gridCol w:w="48"/>
            <w:gridCol w:w="116"/>
            <w:gridCol w:w="804"/>
            <w:gridCol w:w="176"/>
          </w:tblGrid>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b/>
                    <w:color w:val="000000"/>
                    <w:sz w:val="18"/>
                  </w:rPr>
                </w:pPr>
                <w:r>
                  <w:t xml:space="preserve"> </w:t>
                </w:r>
                <w:r>
                  <w:rPr>
                    <w:rFonts w:ascii="Arial"/>
                    <w:b/>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1139" w:type="pct"/>
                <w:gridSpan w:val="6"/>
                <w:tcBorders>
                  <w:bottom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Three Months Ended December 31,</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b/>
                    <w:color w:val="000000"/>
                    <w:sz w:val="18"/>
                  </w:rPr>
                </w:pPr>
                <w:r>
                  <w:rPr>
                    <w:rFonts w:ascii="Arial"/>
                    <w:b/>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993" w:type="pct"/>
                <w:gridSpan w:val="6"/>
                <w:tcBorders>
                  <w:bottom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Twelve Months Ended December 31,</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b/>
                    <w:color w:val="000000"/>
                    <w:sz w:val="18"/>
                  </w:rPr>
                </w:pPr>
                <w:r>
                  <w:rPr>
                    <w:rFonts w:ascii="Arial"/>
                    <w:b/>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b/>
                    <w:color w:val="000000"/>
                    <w:sz w:val="18"/>
                  </w:rPr>
                </w:pPr>
                <w:r>
                  <w:rPr>
                    <w:rFonts w:ascii="Arial"/>
                    <w:b/>
                    <w:color w:val="000000"/>
                    <w:sz w:val="18"/>
                  </w:rPr>
                  <w:t>Broadcast Cash Flow and Adjusted EBITDA:</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16"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2015</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b/>
                    <w:color w:val="000000"/>
                    <w:sz w:val="18"/>
                  </w:rPr>
                </w:pPr>
                <w:r>
                  <w:rPr>
                    <w:rFonts w:ascii="Arial"/>
                    <w:b/>
                    <w:color w:val="000000"/>
                    <w:sz w:val="18"/>
                  </w:rPr>
                  <w:t xml:space="preserve"> </w:t>
                </w:r>
              </w:p>
            </w:tc>
            <w:tc>
              <w:tcPr>
                <w:tcW w:w="57" w:type="pct"/>
                <w:tcBorders>
                  <w:top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 xml:space="preserve"> </w:t>
                </w:r>
              </w:p>
            </w:tc>
            <w:tc>
              <w:tcPr>
                <w:tcW w:w="516"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2014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b/>
                    <w:color w:val="000000"/>
                    <w:sz w:val="18"/>
                  </w:rPr>
                </w:pPr>
                <w:r>
                  <w:rPr>
                    <w:rFonts w:ascii="Arial"/>
                    <w:b/>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76"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2015</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b/>
                    <w:color w:val="000000"/>
                    <w:sz w:val="18"/>
                  </w:rPr>
                </w:pPr>
                <w:r>
                  <w:rPr>
                    <w:rFonts w:ascii="Arial"/>
                    <w:b/>
                    <w:color w:val="000000"/>
                    <w:sz w:val="18"/>
                  </w:rPr>
                  <w:t xml:space="preserve"> </w:t>
                </w:r>
              </w:p>
            </w:tc>
            <w:tc>
              <w:tcPr>
                <w:tcW w:w="57" w:type="pct"/>
                <w:tcBorders>
                  <w:top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 xml:space="preserve"> </w:t>
                </w:r>
              </w:p>
            </w:tc>
            <w:tc>
              <w:tcPr>
                <w:tcW w:w="509"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0F386B" w:rsidRDefault="00880550" w:rsidP="003166AD">
                <w:pPr>
                  <w:jc w:val="center"/>
                  <w:rPr>
                    <w:rFonts w:ascii="Arial"/>
                    <w:b/>
                    <w:color w:val="000000"/>
                    <w:sz w:val="18"/>
                  </w:rPr>
                </w:pPr>
                <w:r>
                  <w:rPr>
                    <w:rFonts w:ascii="Arial"/>
                    <w:b/>
                    <w:color w:val="000000"/>
                    <w:sz w:val="18"/>
                  </w:rPr>
                  <w:t>2014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b/>
                    <w:color w:val="000000"/>
                    <w:sz w:val="18"/>
                  </w:rPr>
                </w:pPr>
                <w:r>
                  <w:rPr>
                    <w:rFonts w:ascii="Arial"/>
                    <w:b/>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Income from operations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w:t>
                </w:r>
              </w:p>
            </w:tc>
            <w:tc>
              <w:tcPr>
                <w:tcW w:w="466" w:type="pct"/>
                <w:shd w:val="clear" w:color="auto" w:fill="auto"/>
                <w:noWrap/>
                <w:tcMar>
                  <w:top w:w="15" w:type="dxa"/>
                  <w:left w:w="0" w:type="dxa"/>
                  <w:bottom w:w="0" w:type="dxa"/>
                  <w:right w:w="15" w:type="dxa"/>
                </w:tcMar>
                <w:vAlign w:val="bottom"/>
              </w:tcPr>
              <w:p w:rsidR="000F386B" w:rsidRDefault="00880550">
                <w:pPr>
                  <w:jc w:val="right"/>
                  <w:rPr>
                    <w:rFonts w:ascii="Arial"/>
                    <w:color w:val="000000"/>
                    <w:sz w:val="18"/>
                  </w:rPr>
                </w:pPr>
                <w:r>
                  <w:rPr>
                    <w:rFonts w:ascii="Arial"/>
                    <w:color w:val="000000"/>
                    <w:sz w:val="18"/>
                  </w:rPr>
                  <w:t>67,346</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68,899</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w:t>
                </w:r>
              </w:p>
            </w:tc>
            <w:tc>
              <w:tcPr>
                <w:tcW w:w="326" w:type="pct"/>
                <w:shd w:val="clear" w:color="auto" w:fill="auto"/>
                <w:noWrap/>
                <w:tcMar>
                  <w:top w:w="15" w:type="dxa"/>
                  <w:left w:w="0" w:type="dxa"/>
                  <w:bottom w:w="0" w:type="dxa"/>
                  <w:right w:w="15" w:type="dxa"/>
                </w:tcMar>
                <w:vAlign w:val="bottom"/>
              </w:tcPr>
              <w:p w:rsidR="000F386B" w:rsidRDefault="00880550">
                <w:pPr>
                  <w:jc w:val="right"/>
                  <w:rPr>
                    <w:rFonts w:ascii="Arial"/>
                    <w:color w:val="000000"/>
                    <w:sz w:val="18"/>
                  </w:rPr>
                </w:pPr>
                <w:r>
                  <w:rPr>
                    <w:rFonts w:ascii="Arial"/>
                    <w:color w:val="000000"/>
                    <w:sz w:val="18"/>
                  </w:rPr>
                  <w:t>206,107</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173,237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Add:</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Depreciation</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11,972</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9,247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47,222</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35,047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Amortization of intangible assets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12,827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7,153</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48,475</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25,850</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Amortization of broadcast rights, excluding barter</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5,857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2,730</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22,154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11,634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Loss on asset disposal, net</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1,187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499</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2,109</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638</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Corporate expenses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11,591</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8,889</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44,856</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35,174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Non-cash representation contract termination fee</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1,516</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353</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Less: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Payments for broadcast rights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6,193</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2,917</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22,473</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12,025</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Broadcast cash flow</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pPr>
                  <w:jc w:val="right"/>
                  <w:rPr>
                    <w:rFonts w:ascii="Arial"/>
                    <w:color w:val="000000"/>
                    <w:sz w:val="18"/>
                  </w:rPr>
                </w:pPr>
                <w:r>
                  <w:rPr>
                    <w:rFonts w:ascii="Arial"/>
                    <w:color w:val="000000"/>
                    <w:sz w:val="18"/>
                  </w:rPr>
                  <w:t>104,587</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94,500</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pPr>
                  <w:jc w:val="right"/>
                  <w:rPr>
                    <w:rFonts w:ascii="Arial"/>
                    <w:color w:val="000000"/>
                    <w:sz w:val="18"/>
                  </w:rPr>
                </w:pPr>
                <w:r>
                  <w:rPr>
                    <w:rFonts w:ascii="Arial"/>
                    <w:color w:val="000000"/>
                    <w:sz w:val="18"/>
                  </w:rPr>
                  <w:t>349,966</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269,908</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Margin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F75DB6">
                <w:pPr>
                  <w:jc w:val="right"/>
                  <w:rPr>
                    <w:rFonts w:ascii="Arial"/>
                    <w:color w:val="000000"/>
                    <w:sz w:val="18"/>
                  </w:rPr>
                </w:pPr>
                <w:r>
                  <w:rPr>
                    <w:rFonts w:ascii="Arial"/>
                    <w:color w:val="000000"/>
                    <w:sz w:val="18"/>
                  </w:rPr>
                  <w:t>41.5</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49.0</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39.0</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42.8</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Less: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Corporate expenses</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11,591</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8,889</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44,856</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tcBorders>
                  <w:bottom w:val="single" w:sz="2"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35,174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tcBorders>
                  <w:top w:val="single" w:sz="2"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keepNext/>
                  <w:rPr>
                    <w:rFonts w:ascii="Arial"/>
                    <w:color w:val="000000"/>
                    <w:sz w:val="18"/>
                  </w:rPr>
                </w:pPr>
                <w:r>
                  <w:rPr>
                    <w:rFonts w:ascii="Arial"/>
                    <w:color w:val="000000"/>
                    <w:sz w:val="18"/>
                  </w:rPr>
                  <w:t>Adjusted EBITDA</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w:t>
                </w:r>
              </w:p>
            </w:tc>
            <w:tc>
              <w:tcPr>
                <w:tcW w:w="466"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pPr>
                  <w:jc w:val="right"/>
                  <w:rPr>
                    <w:rFonts w:ascii="Arial"/>
                    <w:color w:val="000000"/>
                    <w:sz w:val="18"/>
                  </w:rPr>
                </w:pPr>
                <w:r>
                  <w:rPr>
                    <w:rFonts w:ascii="Arial"/>
                    <w:color w:val="000000"/>
                    <w:sz w:val="18"/>
                  </w:rPr>
                  <w:t>92,996</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466"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85,611</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w:t>
                </w:r>
              </w:p>
            </w:tc>
            <w:tc>
              <w:tcPr>
                <w:tcW w:w="326"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pPr>
                  <w:jc w:val="right"/>
                  <w:rPr>
                    <w:rFonts w:ascii="Arial"/>
                    <w:color w:val="000000"/>
                    <w:sz w:val="18"/>
                  </w:rPr>
                </w:pPr>
                <w:r>
                  <w:rPr>
                    <w:rFonts w:ascii="Arial"/>
                    <w:color w:val="000000"/>
                    <w:sz w:val="18"/>
                  </w:rPr>
                  <w:t>305,110</w:t>
                </w:r>
              </w:p>
            </w:tc>
            <w:tc>
              <w:tcPr>
                <w:tcW w:w="50" w:type="pct"/>
                <w:shd w:val="clear" w:color="auto" w:fill="auto"/>
                <w:noWrap/>
                <w:tcMar>
                  <w:top w:w="15" w:type="dxa"/>
                  <w:left w:w="0" w:type="dxa"/>
                  <w:bottom w:w="0" w:type="dxa"/>
                  <w:right w:w="15" w:type="dxa"/>
                </w:tcMar>
                <w:vAlign w:val="bottom"/>
              </w:tcPr>
              <w:p w:rsidR="000F386B"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459" w:type="pct"/>
                <w:tcBorders>
                  <w:bottom w:val="double" w:sz="6"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234,734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Margin %</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F75DB6">
                <w:pPr>
                  <w:jc w:val="right"/>
                  <w:rPr>
                    <w:rFonts w:ascii="Arial"/>
                    <w:color w:val="000000"/>
                    <w:sz w:val="18"/>
                  </w:rPr>
                </w:pPr>
                <w:r>
                  <w:rPr>
                    <w:rFonts w:ascii="Arial"/>
                    <w:color w:val="000000"/>
                    <w:sz w:val="18"/>
                  </w:rPr>
                  <w:t>36.9</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66"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44.4</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76"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326"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34.0</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c>
              <w:tcPr>
                <w:tcW w:w="57" w:type="pct"/>
                <w:shd w:val="clear" w:color="auto" w:fill="auto"/>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50"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 xml:space="preserve"> </w:t>
                </w:r>
              </w:p>
            </w:tc>
            <w:tc>
              <w:tcPr>
                <w:tcW w:w="459" w:type="pct"/>
                <w:tcBorders>
                  <w:top w:val="double" w:sz="6" w:space="0" w:color="000000"/>
                </w:tcBorders>
                <w:shd w:val="clear" w:color="auto" w:fill="auto"/>
                <w:noWrap/>
                <w:tcMar>
                  <w:top w:w="15" w:type="dxa"/>
                  <w:left w:w="0" w:type="dxa"/>
                  <w:bottom w:w="0" w:type="dxa"/>
                  <w:right w:w="15" w:type="dxa"/>
                </w:tcMar>
                <w:vAlign w:val="bottom"/>
              </w:tcPr>
              <w:p w:rsidR="000F386B" w:rsidRDefault="00880550" w:rsidP="003166AD">
                <w:pPr>
                  <w:jc w:val="right"/>
                  <w:rPr>
                    <w:rFonts w:ascii="Arial"/>
                    <w:color w:val="000000"/>
                    <w:sz w:val="18"/>
                  </w:rPr>
                </w:pPr>
                <w:r>
                  <w:rPr>
                    <w:rFonts w:ascii="Arial"/>
                    <w:color w:val="000000"/>
                    <w:sz w:val="18"/>
                  </w:rPr>
                  <w:t>37.2</w:t>
                </w:r>
              </w:p>
            </w:tc>
            <w:tc>
              <w:tcPr>
                <w:tcW w:w="50" w:type="pct"/>
                <w:shd w:val="clear" w:color="auto" w:fill="auto"/>
                <w:noWrap/>
                <w:tcMar>
                  <w:top w:w="15" w:type="dxa"/>
                  <w:left w:w="0" w:type="dxa"/>
                  <w:bottom w:w="0" w:type="dxa"/>
                  <w:right w:w="15" w:type="dxa"/>
                </w:tcMar>
                <w:vAlign w:val="bottom"/>
              </w:tcPr>
              <w:p w:rsidR="000F386B" w:rsidRDefault="00880550" w:rsidP="003166AD">
                <w:pPr>
                  <w:rPr>
                    <w:rFonts w:ascii="Arial"/>
                    <w:color w:val="000000"/>
                    <w:sz w:val="18"/>
                  </w:rPr>
                </w:pPr>
                <w:r>
                  <w:rPr>
                    <w:rFonts w:ascii="Arial"/>
                    <w:color w:val="000000"/>
                    <w:sz w:val="18"/>
                  </w:rPr>
                  <w:t>%</w:t>
                </w:r>
              </w:p>
            </w:tc>
          </w:tr>
        </w:tbl>
      </w:sdtContent>
    </w:sdt>
    <w:p w:rsidR="000956EA" w:rsidRPr="00AC2CC1" w:rsidRDefault="00E05E0E" w:rsidP="000956EA">
      <w:pPr>
        <w:rPr>
          <w:sz w:val="18"/>
          <w:szCs w:val="18"/>
        </w:rPr>
      </w:pPr>
    </w:p>
    <w:p w:rsidR="000956EA" w:rsidRDefault="00880550" w:rsidP="000956EA">
      <w:pPr>
        <w:jc w:val="center"/>
        <w:rPr>
          <w:rFonts w:ascii="Arial" w:hAnsi="Arial"/>
          <w:b/>
          <w:color w:val="000000"/>
          <w:sz w:val="20"/>
        </w:rPr>
      </w:pPr>
      <w:r>
        <w:rPr>
          <w:rFonts w:ascii="Arial" w:hAnsi="Arial"/>
          <w:b/>
          <w:color w:val="000000"/>
          <w:sz w:val="20"/>
        </w:rPr>
        <w:t>Nexstar Broadcasting Group, Inc.</w:t>
      </w:r>
    </w:p>
    <w:p w:rsidR="000956EA" w:rsidRDefault="00880550" w:rsidP="000956EA">
      <w:pPr>
        <w:jc w:val="center"/>
        <w:rPr>
          <w:rFonts w:ascii="Arial" w:hAnsi="Arial"/>
          <w:b/>
          <w:snapToGrid w:val="0"/>
          <w:color w:val="000000"/>
          <w:sz w:val="20"/>
        </w:rPr>
      </w:pPr>
      <w:r>
        <w:rPr>
          <w:rFonts w:ascii="Arial" w:hAnsi="Arial"/>
          <w:b/>
          <w:color w:val="000000"/>
          <w:sz w:val="20"/>
        </w:rPr>
        <w:t>Reconciliation of Free Cash Flow (Non-GAAP Measure)</w:t>
      </w:r>
    </w:p>
    <w:p w:rsidR="000956EA" w:rsidRDefault="00880550" w:rsidP="000956EA">
      <w:pPr>
        <w:jc w:val="center"/>
        <w:rPr>
          <w:rFonts w:ascii="Arial" w:hAnsi="Arial"/>
          <w:b/>
          <w:color w:val="000000"/>
          <w:sz w:val="20"/>
        </w:rPr>
      </w:pPr>
      <w:r>
        <w:rPr>
          <w:rFonts w:ascii="Arial" w:hAnsi="Arial"/>
          <w:b/>
          <w:color w:val="000000"/>
          <w:sz w:val="20"/>
        </w:rPr>
        <w:t>UNAUDITED</w:t>
      </w:r>
    </w:p>
    <w:p w:rsidR="000956EA" w:rsidRDefault="00880550" w:rsidP="000956EA">
      <w:pPr>
        <w:pStyle w:val="BodyText2"/>
        <w:suppressAutoHyphens/>
        <w:spacing w:line="240" w:lineRule="auto"/>
        <w:jc w:val="center"/>
        <w:rPr>
          <w:rFonts w:ascii="Arial" w:hAnsi="Arial"/>
          <w:snapToGrid w:val="0"/>
          <w:color w:val="000000"/>
          <w:sz w:val="20"/>
        </w:rPr>
      </w:pPr>
      <w:r w:rsidRPr="00CB3A3B">
        <w:rPr>
          <w:rFonts w:ascii="Arial" w:hAnsi="Arial"/>
          <w:snapToGrid w:val="0"/>
          <w:color w:val="000000"/>
          <w:sz w:val="20"/>
        </w:rPr>
        <w:t>(</w:t>
      </w:r>
      <w:proofErr w:type="gramStart"/>
      <w:r w:rsidRPr="00CB3A3B">
        <w:rPr>
          <w:rFonts w:ascii="Arial" w:hAnsi="Arial"/>
          <w:snapToGrid w:val="0"/>
          <w:color w:val="000000"/>
          <w:sz w:val="20"/>
        </w:rPr>
        <w:t>in</w:t>
      </w:r>
      <w:proofErr w:type="gramEnd"/>
      <w:r w:rsidRPr="00CB3A3B">
        <w:rPr>
          <w:rFonts w:ascii="Arial" w:hAnsi="Arial"/>
          <w:snapToGrid w:val="0"/>
          <w:color w:val="000000"/>
          <w:sz w:val="20"/>
        </w:rPr>
        <w:t xml:space="preserve"> thousands)</w:t>
      </w:r>
    </w:p>
    <w:p w:rsidR="000956EA" w:rsidRPr="00AC2CC1" w:rsidRDefault="00E05E0E" w:rsidP="000956EA">
      <w:pPr>
        <w:pStyle w:val="BodyText2"/>
        <w:suppressAutoHyphens/>
        <w:spacing w:line="240" w:lineRule="auto"/>
        <w:jc w:val="center"/>
        <w:rPr>
          <w:rFonts w:ascii="Arial" w:hAnsi="Arial"/>
          <w:snapToGrid w:val="0"/>
          <w:color w:val="000000"/>
          <w:sz w:val="18"/>
          <w:szCs w:val="18"/>
        </w:rPr>
      </w:pPr>
    </w:p>
    <w:sdt>
      <w:sdtPr>
        <w:alias w:val="AL-PR_FCF - Nexstar_Mission_Marshall_Dec312015"/>
        <w:tag w:val="39d63c9b-1e13-4274-b969-9901acb0454e"/>
        <w:id w:val="852294582"/>
      </w:sdtPr>
      <w:sdtEndPr/>
      <w:sdtContent>
        <w:tbl>
          <w:tblPr>
            <w:tblStyle w:val="TableGrid"/>
            <w:tblW w:w="5000" w:type="pct"/>
            <w:jc w:val="center"/>
            <w:tblBorders>
              <w:top w:val="nil"/>
              <w:left w:val="nil"/>
              <w:bottom w:val="nil"/>
              <w:right w:val="nil"/>
              <w:insideH w:val="nil"/>
              <w:insideV w:val="nil"/>
            </w:tblBorders>
            <w:tblCellMar>
              <w:top w:w="15" w:type="dxa"/>
              <w:left w:w="0" w:type="dxa"/>
              <w:right w:w="15" w:type="dxa"/>
            </w:tblCellMar>
            <w:tblLook w:val="04A0" w:firstRow="1" w:lastRow="0" w:firstColumn="1" w:lastColumn="0" w:noHBand="0" w:noVBand="1"/>
          </w:tblPr>
          <w:tblGrid>
            <w:gridCol w:w="4926"/>
            <w:gridCol w:w="95"/>
            <w:gridCol w:w="116"/>
            <w:gridCol w:w="862"/>
            <w:gridCol w:w="82"/>
            <w:gridCol w:w="95"/>
            <w:gridCol w:w="116"/>
            <w:gridCol w:w="862"/>
            <w:gridCol w:w="82"/>
            <w:gridCol w:w="131"/>
            <w:gridCol w:w="116"/>
            <w:gridCol w:w="666"/>
            <w:gridCol w:w="82"/>
            <w:gridCol w:w="95"/>
            <w:gridCol w:w="116"/>
            <w:gridCol w:w="851"/>
            <w:gridCol w:w="82"/>
          </w:tblGrid>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b/>
                    <w:color w:val="000000"/>
                    <w:sz w:val="18"/>
                  </w:rPr>
                </w:pPr>
                <w:r>
                  <w:t xml:space="preserve"> </w:t>
                </w:r>
                <w:r>
                  <w:rPr>
                    <w:rFonts w:ascii="Arial"/>
                    <w:b/>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1139" w:type="pct"/>
                <w:gridSpan w:val="6"/>
                <w:tcBorders>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Three Months Ended December 31,</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18"/>
                  </w:rPr>
                </w:pPr>
                <w:r>
                  <w:rPr>
                    <w:rFonts w:ascii="Arial"/>
                    <w:b/>
                    <w:color w:val="000000"/>
                    <w:sz w:val="18"/>
                  </w:rPr>
                  <w:t xml:space="preserve"> </w:t>
                </w:r>
              </w:p>
            </w:tc>
            <w:tc>
              <w:tcPr>
                <w:tcW w:w="1069" w:type="pct"/>
                <w:gridSpan w:val="7"/>
                <w:tcBorders>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Twelve Months Ended December 31,</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18"/>
                  </w:rPr>
                </w:pPr>
                <w:r>
                  <w:rPr>
                    <w:rFonts w:ascii="Arial"/>
                    <w:b/>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b/>
                    <w:color w:val="000000"/>
                    <w:sz w:val="18"/>
                  </w:rPr>
                </w:pPr>
                <w:r>
                  <w:rPr>
                    <w:rFonts w:ascii="Arial"/>
                    <w:b/>
                    <w:color w:val="000000"/>
                    <w:sz w:val="18"/>
                  </w:rPr>
                  <w:t>Free Cash Flow:</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16"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2015</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18"/>
                  </w:rPr>
                </w:pPr>
                <w:r>
                  <w:rPr>
                    <w:rFonts w:ascii="Arial"/>
                    <w:b/>
                    <w:color w:val="000000"/>
                    <w:sz w:val="18"/>
                  </w:rPr>
                  <w:t xml:space="preserve"> </w:t>
                </w:r>
              </w:p>
            </w:tc>
            <w:tc>
              <w:tcPr>
                <w:tcW w:w="57" w:type="pct"/>
                <w:tcBorders>
                  <w:top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 xml:space="preserve"> </w:t>
                </w:r>
              </w:p>
            </w:tc>
            <w:tc>
              <w:tcPr>
                <w:tcW w:w="516"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2014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18"/>
                  </w:rPr>
                </w:pPr>
                <w:r>
                  <w:rPr>
                    <w:rFonts w:ascii="Arial"/>
                    <w:b/>
                    <w:color w:val="000000"/>
                    <w:sz w:val="18"/>
                  </w:rPr>
                  <w:t xml:space="preserve"> </w:t>
                </w:r>
              </w:p>
            </w:tc>
            <w:tc>
              <w:tcPr>
                <w:tcW w:w="76" w:type="pct"/>
                <w:tcBorders>
                  <w:top w:val="single" w:sz="2" w:space="0" w:color="000000"/>
                </w:tcBorders>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76"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2015</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18"/>
                  </w:rPr>
                </w:pPr>
                <w:r>
                  <w:rPr>
                    <w:rFonts w:ascii="Arial"/>
                    <w:b/>
                    <w:color w:val="000000"/>
                    <w:sz w:val="18"/>
                  </w:rPr>
                  <w:t xml:space="preserve"> </w:t>
                </w:r>
              </w:p>
            </w:tc>
            <w:tc>
              <w:tcPr>
                <w:tcW w:w="57" w:type="pct"/>
                <w:tcBorders>
                  <w:top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 xml:space="preserve"> </w:t>
                </w:r>
              </w:p>
            </w:tc>
            <w:tc>
              <w:tcPr>
                <w:tcW w:w="509" w:type="pct"/>
                <w:gridSpan w:val="2"/>
                <w:tcBorders>
                  <w:top w:val="single" w:sz="2" w:space="0" w:color="000000"/>
                  <w:bottom w:val="single" w:sz="2" w:space="0" w:color="000000"/>
                </w:tcBorders>
                <w:shd w:val="clear" w:color="auto" w:fill="auto"/>
                <w:tcMar>
                  <w:top w:w="15" w:type="dxa"/>
                  <w:left w:w="0" w:type="dxa"/>
                  <w:bottom w:w="0" w:type="dxa"/>
                  <w:right w:w="15" w:type="dxa"/>
                </w:tcMar>
                <w:vAlign w:val="bottom"/>
              </w:tcPr>
              <w:p w:rsidR="001124D6" w:rsidRDefault="00880550" w:rsidP="003166AD">
                <w:pPr>
                  <w:jc w:val="center"/>
                  <w:rPr>
                    <w:rFonts w:ascii="Arial"/>
                    <w:b/>
                    <w:color w:val="000000"/>
                    <w:sz w:val="18"/>
                  </w:rPr>
                </w:pPr>
                <w:r>
                  <w:rPr>
                    <w:rFonts w:ascii="Arial"/>
                    <w:b/>
                    <w:color w:val="000000"/>
                    <w:sz w:val="18"/>
                  </w:rPr>
                  <w:t>2014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b/>
                    <w:color w:val="000000"/>
                    <w:sz w:val="18"/>
                  </w:rPr>
                </w:pPr>
                <w:r>
                  <w:rPr>
                    <w:rFonts w:ascii="Arial"/>
                    <w:b/>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Income from operations</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67,346</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68,899</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206,107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173,237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Add:</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Depreciation</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11,972</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9,247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47,222</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35,047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Amortization of intangible assets</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12,827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7,153</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48,475</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25,850</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Amortization of broadcast rights, excluding barter</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5,857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2,730</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22,154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11,634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Loss on asset disposal, net</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1,187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499</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2,109</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638</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Non-cash compensation expense</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2,885</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2,114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11,400</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7,598</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Non-cash representation contract termination fee</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1,516</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353</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Less:</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Payments for broadcast rights</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6,193</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2,917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22,473</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12,025</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Cash interest expense</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19,444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15,161</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76,768</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59,167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Capital expenditures</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6,321</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6,478</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25,397</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20,300</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Calibri"/>
                    <w:color w:val="000000"/>
                  </w:rPr>
                </w:pPr>
                <w:r>
                  <w:rPr>
                    <w:rFonts w:ascii="Arial"/>
                    <w:color w:val="000000"/>
                    <w:sz w:val="18"/>
                  </w:rPr>
                  <w:t xml:space="preserve">   Operating cash income taxes, net of refunds</w:t>
                </w:r>
                <w:r>
                  <w:rPr>
                    <w:rFonts w:ascii="Arial"/>
                    <w:color w:val="000000"/>
                    <w:sz w:val="18"/>
                    <w:vertAlign w:val="superscript"/>
                  </w:rPr>
                  <w:t>(1)</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46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1,137</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855</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326"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6,101</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tcBorders>
                  <w:bottom w:val="single" w:sz="2"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3,131</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keepNext/>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6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326"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459" w:type="pct"/>
                <w:tcBorders>
                  <w:top w:val="single" w:sz="2"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r>
          <w:tr w:rsidR="000E308C" w:rsidTr="005F6D40">
            <w:trPr>
              <w:cantSplit/>
              <w:jc w:val="center"/>
            </w:trPr>
            <w:tc>
              <w:tcPr>
                <w:tcW w:w="2633"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Free cash flow</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466"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68,979</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w:t>
                </w:r>
              </w:p>
            </w:tc>
            <w:tc>
              <w:tcPr>
                <w:tcW w:w="466"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65,231</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76"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w:t>
                </w:r>
              </w:p>
            </w:tc>
            <w:tc>
              <w:tcPr>
                <w:tcW w:w="326"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pPr>
                  <w:jc w:val="right"/>
                  <w:rPr>
                    <w:rFonts w:ascii="Arial"/>
                    <w:color w:val="000000"/>
                    <w:sz w:val="18"/>
                  </w:rPr>
                </w:pPr>
                <w:r>
                  <w:rPr>
                    <w:rFonts w:ascii="Arial"/>
                    <w:color w:val="000000"/>
                    <w:sz w:val="18"/>
                  </w:rPr>
                  <w:t>208,244</w:t>
                </w:r>
              </w:p>
            </w:tc>
            <w:tc>
              <w:tcPr>
                <w:tcW w:w="50" w:type="pct"/>
                <w:shd w:val="clear" w:color="auto" w:fill="auto"/>
                <w:noWrap/>
                <w:tcMar>
                  <w:top w:w="15" w:type="dxa"/>
                  <w:left w:w="0" w:type="dxa"/>
                  <w:bottom w:w="0" w:type="dxa"/>
                  <w:right w:w="15" w:type="dxa"/>
                </w:tcMar>
                <w:vAlign w:val="bottom"/>
              </w:tcPr>
              <w:p w:rsidR="001124D6" w:rsidRDefault="00880550">
                <w:pPr>
                  <w:rPr>
                    <w:rFonts w:ascii="Arial"/>
                    <w:color w:val="000000"/>
                    <w:sz w:val="18"/>
                  </w:rPr>
                </w:pPr>
                <w:r>
                  <w:rPr>
                    <w:rFonts w:ascii="Arial"/>
                    <w:color w:val="000000"/>
                    <w:sz w:val="18"/>
                  </w:rPr>
                  <w:t xml:space="preserve"> </w:t>
                </w:r>
              </w:p>
            </w:tc>
            <w:tc>
              <w:tcPr>
                <w:tcW w:w="57" w:type="pct"/>
                <w:shd w:val="clear" w:color="auto" w:fill="auto"/>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 xml:space="preserve"> </w:t>
                </w:r>
              </w:p>
            </w:tc>
            <w:tc>
              <w:tcPr>
                <w:tcW w:w="50"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18"/>
                  </w:rPr>
                  <w:t>$</w:t>
                </w:r>
              </w:p>
            </w:tc>
            <w:tc>
              <w:tcPr>
                <w:tcW w:w="459" w:type="pct"/>
                <w:tcBorders>
                  <w:bottom w:val="double" w:sz="6" w:space="0" w:color="000000"/>
                </w:tcBorders>
                <w:shd w:val="clear" w:color="auto" w:fill="auto"/>
                <w:noWrap/>
                <w:tcMar>
                  <w:top w:w="15" w:type="dxa"/>
                  <w:left w:w="0" w:type="dxa"/>
                  <w:bottom w:w="0" w:type="dxa"/>
                  <w:right w:w="15" w:type="dxa"/>
                </w:tcMar>
                <w:vAlign w:val="bottom"/>
              </w:tcPr>
              <w:p w:rsidR="001124D6" w:rsidRDefault="00880550" w:rsidP="003166AD">
                <w:pPr>
                  <w:jc w:val="right"/>
                  <w:rPr>
                    <w:rFonts w:ascii="Arial"/>
                    <w:color w:val="000000"/>
                    <w:sz w:val="18"/>
                  </w:rPr>
                </w:pPr>
                <w:r>
                  <w:rPr>
                    <w:rFonts w:ascii="Arial"/>
                    <w:color w:val="000000"/>
                    <w:sz w:val="18"/>
                  </w:rPr>
                  <w:t>159,734</w:t>
                </w:r>
              </w:p>
            </w:tc>
            <w:tc>
              <w:tcPr>
                <w:tcW w:w="50" w:type="pct"/>
                <w:shd w:val="clear" w:color="auto" w:fill="auto"/>
                <w:noWrap/>
                <w:tcMar>
                  <w:top w:w="15" w:type="dxa"/>
                  <w:left w:w="0" w:type="dxa"/>
                  <w:bottom w:w="0" w:type="dxa"/>
                  <w:right w:w="15" w:type="dxa"/>
                </w:tcMar>
                <w:vAlign w:val="bottom"/>
              </w:tcPr>
              <w:p w:rsidR="001124D6" w:rsidRDefault="00880550" w:rsidP="003166AD">
                <w:pPr>
                  <w:rPr>
                    <w:rFonts w:ascii="Arial"/>
                    <w:color w:val="000000"/>
                    <w:sz w:val="18"/>
                  </w:rPr>
                </w:pPr>
                <w:r>
                  <w:rPr>
                    <w:rFonts w:ascii="Arial"/>
                    <w:color w:val="000000"/>
                    <w:sz w:val="2"/>
                  </w:rPr>
                  <w:t xml:space="preserve"> </w:t>
                </w:r>
              </w:p>
            </w:tc>
          </w:tr>
        </w:tbl>
      </w:sdtContent>
    </w:sdt>
    <w:p w:rsidR="000956EA" w:rsidRPr="00817C5B" w:rsidRDefault="00E05E0E" w:rsidP="000956EA">
      <w:pPr>
        <w:rPr>
          <w:sz w:val="2"/>
          <w:szCs w:val="2"/>
        </w:rPr>
      </w:pPr>
    </w:p>
    <w:tbl>
      <w:tblPr>
        <w:tblStyle w:val="TableGrid"/>
        <w:tblW w:w="665" w:type="pct"/>
        <w:tblBorders>
          <w:top w:val="nil"/>
          <w:left w:val="nil"/>
          <w:bottom w:val="nil"/>
          <w:right w:val="nil"/>
          <w:insideH w:val="nil"/>
          <w:insideV w:val="nil"/>
        </w:tblBorders>
        <w:tblCellMar>
          <w:left w:w="0" w:type="dxa"/>
          <w:right w:w="14" w:type="dxa"/>
        </w:tblCellMar>
        <w:tblLook w:val="04A0" w:firstRow="1" w:lastRow="0" w:firstColumn="1" w:lastColumn="0" w:noHBand="0" w:noVBand="1"/>
      </w:tblPr>
      <w:tblGrid>
        <w:gridCol w:w="1247"/>
      </w:tblGrid>
      <w:tr w:rsidR="000E308C" w:rsidTr="000956EA">
        <w:trPr>
          <w:cantSplit/>
        </w:trPr>
        <w:tc>
          <w:tcPr>
            <w:tcW w:w="5000" w:type="pct"/>
            <w:tcBorders>
              <w:bottom w:val="single" w:sz="4" w:space="0" w:color="auto"/>
            </w:tcBorders>
            <w:noWrap/>
            <w:vAlign w:val="bottom"/>
          </w:tcPr>
          <w:p w:rsidR="000956EA" w:rsidRPr="00563FA6" w:rsidRDefault="00E05E0E" w:rsidP="000956EA">
            <w:pPr>
              <w:keepNext/>
              <w:rPr>
                <w:sz w:val="12"/>
                <w:szCs w:val="12"/>
              </w:rPr>
            </w:pPr>
          </w:p>
        </w:tc>
      </w:tr>
    </w:tbl>
    <w:p w:rsidR="000956EA" w:rsidRPr="00F47B76" w:rsidRDefault="00880550" w:rsidP="000956EA">
      <w:pPr>
        <w:pStyle w:val="NormalWeb"/>
        <w:numPr>
          <w:ilvl w:val="0"/>
          <w:numId w:val="5"/>
        </w:numPr>
        <w:tabs>
          <w:tab w:val="left" w:pos="360"/>
        </w:tabs>
        <w:spacing w:before="0" w:after="0"/>
        <w:rPr>
          <w:sz w:val="18"/>
          <w:szCs w:val="18"/>
        </w:rPr>
      </w:pPr>
      <w:r w:rsidRPr="00F47B76">
        <w:rPr>
          <w:rFonts w:ascii="Arial" w:hAnsi="Arial" w:cs="Arial"/>
          <w:sz w:val="18"/>
          <w:szCs w:val="18"/>
        </w:rPr>
        <w:t>Excludes the payment of $23.0 million in taxes during 2015 related to tax liabilities assumed in or resulting from various station acquisitions and sales.</w:t>
      </w:r>
    </w:p>
    <w:p w:rsidR="000956EA" w:rsidRPr="0026245F" w:rsidRDefault="00880550" w:rsidP="000956EA">
      <w:pPr>
        <w:pStyle w:val="NormalWeb"/>
        <w:spacing w:before="0" w:after="0"/>
        <w:jc w:val="center"/>
        <w:rPr>
          <w:vertAlign w:val="superscript"/>
        </w:rPr>
      </w:pPr>
      <w:r>
        <w:t># # #</w:t>
      </w:r>
    </w:p>
    <w:sectPr w:rsidR="000956EA" w:rsidRPr="0026245F" w:rsidSect="00BC0123">
      <w:headerReference w:type="default" r:id="rId17"/>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23" w:rsidRDefault="00880550">
      <w:r>
        <w:separator/>
      </w:r>
    </w:p>
  </w:endnote>
  <w:endnote w:type="continuationSeparator" w:id="0">
    <w:p w:rsidR="00A95423" w:rsidRDefault="0088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23" w:rsidRDefault="00880550">
      <w:r>
        <w:separator/>
      </w:r>
    </w:p>
  </w:footnote>
  <w:footnote w:type="continuationSeparator" w:id="0">
    <w:p w:rsidR="00A95423" w:rsidRDefault="00880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AD" w:rsidRPr="002812C9" w:rsidRDefault="00E05E0E" w:rsidP="00281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41E73"/>
    <w:multiLevelType w:val="hybridMultilevel"/>
    <w:tmpl w:val="F45CF168"/>
    <w:lvl w:ilvl="0" w:tplc="E5D0F3B2">
      <w:start w:val="1"/>
      <w:numFmt w:val="decimal"/>
      <w:lvlText w:val="(%1)"/>
      <w:lvlJc w:val="left"/>
      <w:pPr>
        <w:ind w:left="360" w:hanging="360"/>
      </w:pPr>
      <w:rPr>
        <w:rFonts w:ascii="Arial" w:hAnsi="Arial" w:cs="Arial" w:hint="default"/>
      </w:rPr>
    </w:lvl>
    <w:lvl w:ilvl="1" w:tplc="892A87F8" w:tentative="1">
      <w:start w:val="1"/>
      <w:numFmt w:val="lowerLetter"/>
      <w:lvlText w:val="%2."/>
      <w:lvlJc w:val="left"/>
      <w:pPr>
        <w:ind w:left="1080" w:hanging="360"/>
      </w:pPr>
    </w:lvl>
    <w:lvl w:ilvl="2" w:tplc="A55EBB7C" w:tentative="1">
      <w:start w:val="1"/>
      <w:numFmt w:val="lowerRoman"/>
      <w:lvlText w:val="%3."/>
      <w:lvlJc w:val="right"/>
      <w:pPr>
        <w:ind w:left="1800" w:hanging="180"/>
      </w:pPr>
    </w:lvl>
    <w:lvl w:ilvl="3" w:tplc="FE301CC4" w:tentative="1">
      <w:start w:val="1"/>
      <w:numFmt w:val="decimal"/>
      <w:lvlText w:val="%4."/>
      <w:lvlJc w:val="left"/>
      <w:pPr>
        <w:ind w:left="2520" w:hanging="360"/>
      </w:pPr>
    </w:lvl>
    <w:lvl w:ilvl="4" w:tplc="114858E2" w:tentative="1">
      <w:start w:val="1"/>
      <w:numFmt w:val="lowerLetter"/>
      <w:lvlText w:val="%5."/>
      <w:lvlJc w:val="left"/>
      <w:pPr>
        <w:ind w:left="3240" w:hanging="360"/>
      </w:pPr>
    </w:lvl>
    <w:lvl w:ilvl="5" w:tplc="4EBE5462" w:tentative="1">
      <w:start w:val="1"/>
      <w:numFmt w:val="lowerRoman"/>
      <w:lvlText w:val="%6."/>
      <w:lvlJc w:val="right"/>
      <w:pPr>
        <w:ind w:left="3960" w:hanging="180"/>
      </w:pPr>
    </w:lvl>
    <w:lvl w:ilvl="6" w:tplc="9230C646" w:tentative="1">
      <w:start w:val="1"/>
      <w:numFmt w:val="decimal"/>
      <w:lvlText w:val="%7."/>
      <w:lvlJc w:val="left"/>
      <w:pPr>
        <w:ind w:left="4680" w:hanging="360"/>
      </w:pPr>
    </w:lvl>
    <w:lvl w:ilvl="7" w:tplc="09043C0A" w:tentative="1">
      <w:start w:val="1"/>
      <w:numFmt w:val="lowerLetter"/>
      <w:lvlText w:val="%8."/>
      <w:lvlJc w:val="left"/>
      <w:pPr>
        <w:ind w:left="5400" w:hanging="360"/>
      </w:pPr>
    </w:lvl>
    <w:lvl w:ilvl="8" w:tplc="B6B602FE" w:tentative="1">
      <w:start w:val="1"/>
      <w:numFmt w:val="lowerRoman"/>
      <w:lvlText w:val="%9."/>
      <w:lvlJc w:val="right"/>
      <w:pPr>
        <w:ind w:left="6120" w:hanging="180"/>
      </w:pPr>
    </w:lvl>
  </w:abstractNum>
  <w:abstractNum w:abstractNumId="1">
    <w:nsid w:val="28115AB9"/>
    <w:multiLevelType w:val="hybridMultilevel"/>
    <w:tmpl w:val="EED2703C"/>
    <w:lvl w:ilvl="0" w:tplc="62D86420">
      <w:start w:val="1"/>
      <w:numFmt w:val="decimal"/>
      <w:lvlText w:val="(%1)"/>
      <w:lvlJc w:val="left"/>
      <w:pPr>
        <w:tabs>
          <w:tab w:val="num" w:pos="720"/>
        </w:tabs>
        <w:ind w:left="720" w:hanging="675"/>
      </w:pPr>
      <w:rPr>
        <w:rFonts w:hint="default"/>
        <w:sz w:val="18"/>
        <w:szCs w:val="18"/>
        <w:u w:val="none"/>
      </w:rPr>
    </w:lvl>
    <w:lvl w:ilvl="1" w:tplc="7D9C4442" w:tentative="1">
      <w:start w:val="1"/>
      <w:numFmt w:val="lowerLetter"/>
      <w:lvlText w:val="%2."/>
      <w:lvlJc w:val="left"/>
      <w:pPr>
        <w:tabs>
          <w:tab w:val="num" w:pos="1125"/>
        </w:tabs>
        <w:ind w:left="1125" w:hanging="360"/>
      </w:pPr>
    </w:lvl>
    <w:lvl w:ilvl="2" w:tplc="10864E0A" w:tentative="1">
      <w:start w:val="1"/>
      <w:numFmt w:val="lowerRoman"/>
      <w:lvlText w:val="%3."/>
      <w:lvlJc w:val="right"/>
      <w:pPr>
        <w:tabs>
          <w:tab w:val="num" w:pos="1845"/>
        </w:tabs>
        <w:ind w:left="1845" w:hanging="180"/>
      </w:pPr>
    </w:lvl>
    <w:lvl w:ilvl="3" w:tplc="3B4408B0" w:tentative="1">
      <w:start w:val="1"/>
      <w:numFmt w:val="decimal"/>
      <w:lvlText w:val="%4."/>
      <w:lvlJc w:val="left"/>
      <w:pPr>
        <w:tabs>
          <w:tab w:val="num" w:pos="2565"/>
        </w:tabs>
        <w:ind w:left="2565" w:hanging="360"/>
      </w:pPr>
    </w:lvl>
    <w:lvl w:ilvl="4" w:tplc="CBB80160" w:tentative="1">
      <w:start w:val="1"/>
      <w:numFmt w:val="lowerLetter"/>
      <w:lvlText w:val="%5."/>
      <w:lvlJc w:val="left"/>
      <w:pPr>
        <w:tabs>
          <w:tab w:val="num" w:pos="3285"/>
        </w:tabs>
        <w:ind w:left="3285" w:hanging="360"/>
      </w:pPr>
    </w:lvl>
    <w:lvl w:ilvl="5" w:tplc="20EC50B8" w:tentative="1">
      <w:start w:val="1"/>
      <w:numFmt w:val="lowerRoman"/>
      <w:lvlText w:val="%6."/>
      <w:lvlJc w:val="right"/>
      <w:pPr>
        <w:tabs>
          <w:tab w:val="num" w:pos="4005"/>
        </w:tabs>
        <w:ind w:left="4005" w:hanging="180"/>
      </w:pPr>
    </w:lvl>
    <w:lvl w:ilvl="6" w:tplc="32762340" w:tentative="1">
      <w:start w:val="1"/>
      <w:numFmt w:val="decimal"/>
      <w:lvlText w:val="%7."/>
      <w:lvlJc w:val="left"/>
      <w:pPr>
        <w:tabs>
          <w:tab w:val="num" w:pos="4725"/>
        </w:tabs>
        <w:ind w:left="4725" w:hanging="360"/>
      </w:pPr>
    </w:lvl>
    <w:lvl w:ilvl="7" w:tplc="BF0482DC" w:tentative="1">
      <w:start w:val="1"/>
      <w:numFmt w:val="lowerLetter"/>
      <w:lvlText w:val="%8."/>
      <w:lvlJc w:val="left"/>
      <w:pPr>
        <w:tabs>
          <w:tab w:val="num" w:pos="5445"/>
        </w:tabs>
        <w:ind w:left="5445" w:hanging="360"/>
      </w:pPr>
    </w:lvl>
    <w:lvl w:ilvl="8" w:tplc="9796C32E" w:tentative="1">
      <w:start w:val="1"/>
      <w:numFmt w:val="lowerRoman"/>
      <w:lvlText w:val="%9."/>
      <w:lvlJc w:val="right"/>
      <w:pPr>
        <w:tabs>
          <w:tab w:val="num" w:pos="6165"/>
        </w:tabs>
        <w:ind w:left="6165" w:hanging="180"/>
      </w:pPr>
    </w:lvl>
  </w:abstractNum>
  <w:abstractNum w:abstractNumId="2">
    <w:nsid w:val="4B9A1E73"/>
    <w:multiLevelType w:val="hybridMultilevel"/>
    <w:tmpl w:val="F45CF168"/>
    <w:lvl w:ilvl="0" w:tplc="CB88A700">
      <w:start w:val="1"/>
      <w:numFmt w:val="decimal"/>
      <w:lvlText w:val="(%1)"/>
      <w:lvlJc w:val="left"/>
      <w:pPr>
        <w:ind w:left="360" w:hanging="360"/>
      </w:pPr>
      <w:rPr>
        <w:rFonts w:ascii="Arial" w:hAnsi="Arial" w:cs="Arial" w:hint="default"/>
      </w:rPr>
    </w:lvl>
    <w:lvl w:ilvl="1" w:tplc="172EA330" w:tentative="1">
      <w:start w:val="1"/>
      <w:numFmt w:val="lowerLetter"/>
      <w:lvlText w:val="%2."/>
      <w:lvlJc w:val="left"/>
      <w:pPr>
        <w:ind w:left="1080" w:hanging="360"/>
      </w:pPr>
    </w:lvl>
    <w:lvl w:ilvl="2" w:tplc="11CE5A08" w:tentative="1">
      <w:start w:val="1"/>
      <w:numFmt w:val="lowerRoman"/>
      <w:lvlText w:val="%3."/>
      <w:lvlJc w:val="right"/>
      <w:pPr>
        <w:ind w:left="1800" w:hanging="180"/>
      </w:pPr>
    </w:lvl>
    <w:lvl w:ilvl="3" w:tplc="5376588E" w:tentative="1">
      <w:start w:val="1"/>
      <w:numFmt w:val="decimal"/>
      <w:lvlText w:val="%4."/>
      <w:lvlJc w:val="left"/>
      <w:pPr>
        <w:ind w:left="2520" w:hanging="360"/>
      </w:pPr>
    </w:lvl>
    <w:lvl w:ilvl="4" w:tplc="A38CB686" w:tentative="1">
      <w:start w:val="1"/>
      <w:numFmt w:val="lowerLetter"/>
      <w:lvlText w:val="%5."/>
      <w:lvlJc w:val="left"/>
      <w:pPr>
        <w:ind w:left="3240" w:hanging="360"/>
      </w:pPr>
    </w:lvl>
    <w:lvl w:ilvl="5" w:tplc="A28C4A98" w:tentative="1">
      <w:start w:val="1"/>
      <w:numFmt w:val="lowerRoman"/>
      <w:lvlText w:val="%6."/>
      <w:lvlJc w:val="right"/>
      <w:pPr>
        <w:ind w:left="3960" w:hanging="180"/>
      </w:pPr>
    </w:lvl>
    <w:lvl w:ilvl="6" w:tplc="FFB0AE3E" w:tentative="1">
      <w:start w:val="1"/>
      <w:numFmt w:val="decimal"/>
      <w:lvlText w:val="%7."/>
      <w:lvlJc w:val="left"/>
      <w:pPr>
        <w:ind w:left="4680" w:hanging="360"/>
      </w:pPr>
    </w:lvl>
    <w:lvl w:ilvl="7" w:tplc="10F86F64" w:tentative="1">
      <w:start w:val="1"/>
      <w:numFmt w:val="lowerLetter"/>
      <w:lvlText w:val="%8."/>
      <w:lvlJc w:val="left"/>
      <w:pPr>
        <w:ind w:left="5400" w:hanging="360"/>
      </w:pPr>
    </w:lvl>
    <w:lvl w:ilvl="8" w:tplc="AE301036" w:tentative="1">
      <w:start w:val="1"/>
      <w:numFmt w:val="lowerRoman"/>
      <w:lvlText w:val="%9."/>
      <w:lvlJc w:val="right"/>
      <w:pPr>
        <w:ind w:left="6120" w:hanging="180"/>
      </w:pPr>
    </w:lvl>
  </w:abstractNum>
  <w:abstractNum w:abstractNumId="3">
    <w:nsid w:val="797B2A11"/>
    <w:multiLevelType w:val="hybridMultilevel"/>
    <w:tmpl w:val="198C7998"/>
    <w:lvl w:ilvl="0" w:tplc="88C6BE6A">
      <w:start w:val="1"/>
      <w:numFmt w:val="decimal"/>
      <w:lvlText w:val="%1."/>
      <w:lvlJc w:val="left"/>
      <w:pPr>
        <w:ind w:left="720" w:hanging="360"/>
      </w:pPr>
    </w:lvl>
    <w:lvl w:ilvl="1" w:tplc="5C300944">
      <w:start w:val="1"/>
      <w:numFmt w:val="lowerLetter"/>
      <w:lvlText w:val="%2."/>
      <w:lvlJc w:val="left"/>
      <w:pPr>
        <w:ind w:left="1440" w:hanging="360"/>
      </w:pPr>
    </w:lvl>
    <w:lvl w:ilvl="2" w:tplc="EDB4D54E">
      <w:start w:val="1"/>
      <w:numFmt w:val="lowerRoman"/>
      <w:lvlText w:val="%3."/>
      <w:lvlJc w:val="right"/>
      <w:pPr>
        <w:ind w:left="2160" w:hanging="180"/>
      </w:pPr>
    </w:lvl>
    <w:lvl w:ilvl="3" w:tplc="A18C1726">
      <w:start w:val="1"/>
      <w:numFmt w:val="decimal"/>
      <w:lvlText w:val="%4."/>
      <w:lvlJc w:val="left"/>
      <w:pPr>
        <w:ind w:left="2880" w:hanging="360"/>
      </w:pPr>
    </w:lvl>
    <w:lvl w:ilvl="4" w:tplc="8562921A">
      <w:start w:val="1"/>
      <w:numFmt w:val="lowerLetter"/>
      <w:lvlText w:val="%5."/>
      <w:lvlJc w:val="left"/>
      <w:pPr>
        <w:ind w:left="3600" w:hanging="360"/>
      </w:pPr>
    </w:lvl>
    <w:lvl w:ilvl="5" w:tplc="77102278">
      <w:start w:val="1"/>
      <w:numFmt w:val="lowerRoman"/>
      <w:lvlText w:val="%6."/>
      <w:lvlJc w:val="right"/>
      <w:pPr>
        <w:ind w:left="4320" w:hanging="180"/>
      </w:pPr>
    </w:lvl>
    <w:lvl w:ilvl="6" w:tplc="BBE0F418">
      <w:start w:val="1"/>
      <w:numFmt w:val="decimal"/>
      <w:lvlText w:val="%7."/>
      <w:lvlJc w:val="left"/>
      <w:pPr>
        <w:ind w:left="5040" w:hanging="360"/>
      </w:pPr>
    </w:lvl>
    <w:lvl w:ilvl="7" w:tplc="E6EECAAE">
      <w:start w:val="1"/>
      <w:numFmt w:val="lowerLetter"/>
      <w:lvlText w:val="%8."/>
      <w:lvlJc w:val="left"/>
      <w:pPr>
        <w:ind w:left="5760" w:hanging="360"/>
      </w:pPr>
    </w:lvl>
    <w:lvl w:ilvl="8" w:tplc="FBBE4528">
      <w:start w:val="1"/>
      <w:numFmt w:val="lowerRoman"/>
      <w:lvlText w:val="%9."/>
      <w:lvlJc w:val="right"/>
      <w:pPr>
        <w:ind w:left="6480" w:hanging="180"/>
      </w:pPr>
    </w:lvl>
  </w:abstractNum>
  <w:abstractNum w:abstractNumId="4">
    <w:nsid w:val="7EF549C0"/>
    <w:multiLevelType w:val="hybridMultilevel"/>
    <w:tmpl w:val="D794F4CE"/>
    <w:lvl w:ilvl="0" w:tplc="F5A20F06">
      <w:start w:val="1"/>
      <w:numFmt w:val="decimal"/>
      <w:lvlText w:val="(%1)"/>
      <w:lvlJc w:val="left"/>
      <w:pPr>
        <w:ind w:left="720" w:hanging="360"/>
      </w:pPr>
      <w:rPr>
        <w:rFonts w:hint="default"/>
      </w:rPr>
    </w:lvl>
    <w:lvl w:ilvl="1" w:tplc="9D040C18" w:tentative="1">
      <w:start w:val="1"/>
      <w:numFmt w:val="lowerLetter"/>
      <w:lvlText w:val="%2."/>
      <w:lvlJc w:val="left"/>
      <w:pPr>
        <w:ind w:left="1440" w:hanging="360"/>
      </w:pPr>
    </w:lvl>
    <w:lvl w:ilvl="2" w:tplc="5CF6DCF6" w:tentative="1">
      <w:start w:val="1"/>
      <w:numFmt w:val="lowerRoman"/>
      <w:lvlText w:val="%3."/>
      <w:lvlJc w:val="right"/>
      <w:pPr>
        <w:ind w:left="2160" w:hanging="180"/>
      </w:pPr>
    </w:lvl>
    <w:lvl w:ilvl="3" w:tplc="64DCDFB0" w:tentative="1">
      <w:start w:val="1"/>
      <w:numFmt w:val="decimal"/>
      <w:lvlText w:val="%4."/>
      <w:lvlJc w:val="left"/>
      <w:pPr>
        <w:ind w:left="2880" w:hanging="360"/>
      </w:pPr>
    </w:lvl>
    <w:lvl w:ilvl="4" w:tplc="0F18681E" w:tentative="1">
      <w:start w:val="1"/>
      <w:numFmt w:val="lowerLetter"/>
      <w:lvlText w:val="%5."/>
      <w:lvlJc w:val="left"/>
      <w:pPr>
        <w:ind w:left="3600" w:hanging="360"/>
      </w:pPr>
    </w:lvl>
    <w:lvl w:ilvl="5" w:tplc="E5687E26" w:tentative="1">
      <w:start w:val="1"/>
      <w:numFmt w:val="lowerRoman"/>
      <w:lvlText w:val="%6."/>
      <w:lvlJc w:val="right"/>
      <w:pPr>
        <w:ind w:left="4320" w:hanging="180"/>
      </w:pPr>
    </w:lvl>
    <w:lvl w:ilvl="6" w:tplc="17A80462" w:tentative="1">
      <w:start w:val="1"/>
      <w:numFmt w:val="decimal"/>
      <w:lvlText w:val="%7."/>
      <w:lvlJc w:val="left"/>
      <w:pPr>
        <w:ind w:left="5040" w:hanging="360"/>
      </w:pPr>
    </w:lvl>
    <w:lvl w:ilvl="7" w:tplc="7CFC4294" w:tentative="1">
      <w:start w:val="1"/>
      <w:numFmt w:val="lowerLetter"/>
      <w:lvlText w:val="%8."/>
      <w:lvlJc w:val="left"/>
      <w:pPr>
        <w:ind w:left="5760" w:hanging="360"/>
      </w:pPr>
    </w:lvl>
    <w:lvl w:ilvl="8" w:tplc="A2B45592" w:tentative="1">
      <w:start w:val="1"/>
      <w:numFmt w:val="lowerRoman"/>
      <w:lvlText w:val="%9."/>
      <w:lvlJc w:val="right"/>
      <w:pPr>
        <w:ind w:left="648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EOutsideDoc" w:val="True"/>
  </w:docVars>
  <w:rsids>
    <w:rsidRoot w:val="000E308C"/>
    <w:rsid w:val="000E308C"/>
    <w:rsid w:val="008407E0"/>
    <w:rsid w:val="00880550"/>
    <w:rsid w:val="00A95423"/>
    <w:rsid w:val="00B0430E"/>
    <w:rsid w:val="00E05E0E"/>
    <w:rsid w:val="00EF7480"/>
    <w:rsid w:val="00F75BE0"/>
    <w:rsid w:val="00F9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envelope return" w:uiPriority="0"/>
    <w:lsdException w:name="annotation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8C"/>
    <w:rPr>
      <w:rFonts w:ascii="Garamond" w:eastAsia="Times New Roman" w:hAnsi="Garamond"/>
      <w:sz w:val="24"/>
    </w:rPr>
  </w:style>
  <w:style w:type="paragraph" w:styleId="Heading1">
    <w:name w:val="heading 1"/>
    <w:basedOn w:val="Normal"/>
    <w:next w:val="Normal"/>
    <w:link w:val="Heading1Char"/>
    <w:qFormat/>
    <w:rsid w:val="0017058C"/>
    <w:pPr>
      <w:keepNext/>
      <w:tabs>
        <w:tab w:val="left" w:pos="5760"/>
        <w:tab w:val="right" w:pos="9000"/>
      </w:tabs>
      <w:suppressAutoHyphens/>
      <w:jc w:val="both"/>
      <w:outlineLvl w:val="0"/>
    </w:pPr>
    <w:rPr>
      <w:b/>
      <w:spacing w:val="-3"/>
      <w:sz w:val="32"/>
    </w:rPr>
  </w:style>
  <w:style w:type="paragraph" w:styleId="Heading2">
    <w:name w:val="heading 2"/>
    <w:basedOn w:val="Normal"/>
    <w:next w:val="Normal"/>
    <w:link w:val="Heading2Char"/>
    <w:qFormat/>
    <w:rsid w:val="0017058C"/>
    <w:pPr>
      <w:keepNext/>
      <w:spacing w:line="312" w:lineRule="auto"/>
      <w:outlineLvl w:val="1"/>
    </w:pPr>
    <w:rPr>
      <w:rFonts w:ascii="Arial" w:hAnsi="Arial"/>
      <w:b/>
    </w:rPr>
  </w:style>
  <w:style w:type="paragraph" w:styleId="Heading3">
    <w:name w:val="heading 3"/>
    <w:basedOn w:val="Normal"/>
    <w:next w:val="Normal"/>
    <w:link w:val="Heading3Char"/>
    <w:qFormat/>
    <w:rsid w:val="0017058C"/>
    <w:pPr>
      <w:keepNext/>
      <w:spacing w:line="312" w:lineRule="auto"/>
      <w:ind w:right="-180"/>
      <w:outlineLvl w:val="2"/>
    </w:pPr>
    <w:rPr>
      <w:rFonts w:ascii="Arial" w:hAnsi="Arial"/>
      <w:b/>
    </w:rPr>
  </w:style>
  <w:style w:type="paragraph" w:styleId="Heading4">
    <w:name w:val="heading 4"/>
    <w:basedOn w:val="Normal"/>
    <w:next w:val="Normal"/>
    <w:link w:val="Heading4Char"/>
    <w:qFormat/>
    <w:rsid w:val="0017058C"/>
    <w:pPr>
      <w:keepNext/>
      <w:spacing w:line="288" w:lineRule="auto"/>
      <w:jc w:val="both"/>
      <w:outlineLvl w:val="3"/>
    </w:pPr>
    <w:rPr>
      <w:rFonts w:ascii="Arial" w:hAnsi="Arial"/>
      <w:b/>
      <w:sz w:val="22"/>
    </w:rPr>
  </w:style>
  <w:style w:type="paragraph" w:styleId="Heading5">
    <w:name w:val="heading 5"/>
    <w:basedOn w:val="Normal"/>
    <w:next w:val="Normal"/>
    <w:link w:val="Heading5Char"/>
    <w:qFormat/>
    <w:rsid w:val="0017058C"/>
    <w:pPr>
      <w:keepNext/>
      <w:spacing w:line="288" w:lineRule="auto"/>
      <w:outlineLvl w:val="4"/>
    </w:pPr>
    <w:rPr>
      <w:rFonts w:ascii="Arial" w:hAnsi="Arial"/>
      <w:b/>
      <w:sz w:val="22"/>
    </w:rPr>
  </w:style>
  <w:style w:type="paragraph" w:styleId="Heading6">
    <w:name w:val="heading 6"/>
    <w:basedOn w:val="Normal"/>
    <w:next w:val="Normal"/>
    <w:link w:val="Heading6Char"/>
    <w:qFormat/>
    <w:rsid w:val="0017058C"/>
    <w:pPr>
      <w:keepNext/>
      <w:jc w:val="center"/>
      <w:outlineLvl w:val="5"/>
    </w:pPr>
    <w:rPr>
      <w:b/>
      <w:snapToGrid w:val="0"/>
      <w:color w:val="000000"/>
      <w:sz w:val="13"/>
    </w:rPr>
  </w:style>
  <w:style w:type="paragraph" w:styleId="Heading7">
    <w:name w:val="heading 7"/>
    <w:basedOn w:val="Normal"/>
    <w:next w:val="Normal"/>
    <w:link w:val="Heading7Char"/>
    <w:qFormat/>
    <w:rsid w:val="0017058C"/>
    <w:pPr>
      <w:keepNext/>
      <w:suppressAutoHyphens/>
      <w:jc w:val="both"/>
      <w:outlineLvl w:val="6"/>
    </w:pPr>
    <w:rPr>
      <w:spacing w:val="-3"/>
    </w:rPr>
  </w:style>
  <w:style w:type="paragraph" w:styleId="Heading8">
    <w:name w:val="heading 8"/>
    <w:basedOn w:val="Normal"/>
    <w:next w:val="Normal"/>
    <w:link w:val="Heading8Char"/>
    <w:qFormat/>
    <w:rsid w:val="0017058C"/>
    <w:pPr>
      <w:keepNext/>
      <w:suppressAutoHyphens/>
      <w:outlineLvl w:val="7"/>
    </w:pPr>
  </w:style>
  <w:style w:type="paragraph" w:styleId="Heading9">
    <w:name w:val="heading 9"/>
    <w:basedOn w:val="Normal"/>
    <w:next w:val="Normal"/>
    <w:link w:val="Heading9Char"/>
    <w:qFormat/>
    <w:rsid w:val="0017058C"/>
    <w:pPr>
      <w:keepNext/>
      <w:tabs>
        <w:tab w:val="left" w:pos="270"/>
      </w:tabs>
      <w:ind w:right="256"/>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058C"/>
    <w:rPr>
      <w:rFonts w:ascii="Garamond" w:eastAsia="Times New Roman" w:hAnsi="Garamond" w:cs="Times New Roman"/>
      <w:b/>
      <w:spacing w:val="-3"/>
      <w:sz w:val="32"/>
      <w:szCs w:val="20"/>
    </w:rPr>
  </w:style>
  <w:style w:type="character" w:customStyle="1" w:styleId="Heading2Char">
    <w:name w:val="Heading 2 Char"/>
    <w:link w:val="Heading2"/>
    <w:rsid w:val="0017058C"/>
    <w:rPr>
      <w:rFonts w:ascii="Arial" w:eastAsia="Times New Roman" w:hAnsi="Arial" w:cs="Times New Roman"/>
      <w:b/>
      <w:sz w:val="24"/>
      <w:szCs w:val="20"/>
    </w:rPr>
  </w:style>
  <w:style w:type="character" w:customStyle="1" w:styleId="Heading3Char">
    <w:name w:val="Heading 3 Char"/>
    <w:link w:val="Heading3"/>
    <w:rsid w:val="0017058C"/>
    <w:rPr>
      <w:rFonts w:ascii="Arial" w:eastAsia="Times New Roman" w:hAnsi="Arial" w:cs="Times New Roman"/>
      <w:b/>
      <w:sz w:val="24"/>
      <w:szCs w:val="20"/>
    </w:rPr>
  </w:style>
  <w:style w:type="character" w:customStyle="1" w:styleId="Heading4Char">
    <w:name w:val="Heading 4 Char"/>
    <w:link w:val="Heading4"/>
    <w:rsid w:val="0017058C"/>
    <w:rPr>
      <w:rFonts w:ascii="Arial" w:eastAsia="Times New Roman" w:hAnsi="Arial" w:cs="Times New Roman"/>
      <w:b/>
      <w:szCs w:val="20"/>
    </w:rPr>
  </w:style>
  <w:style w:type="character" w:customStyle="1" w:styleId="Heading5Char">
    <w:name w:val="Heading 5 Char"/>
    <w:link w:val="Heading5"/>
    <w:rsid w:val="0017058C"/>
    <w:rPr>
      <w:rFonts w:ascii="Arial" w:eastAsia="Times New Roman" w:hAnsi="Arial" w:cs="Times New Roman"/>
      <w:b/>
      <w:szCs w:val="20"/>
    </w:rPr>
  </w:style>
  <w:style w:type="character" w:customStyle="1" w:styleId="Heading6Char">
    <w:name w:val="Heading 6 Char"/>
    <w:link w:val="Heading6"/>
    <w:rsid w:val="0017058C"/>
    <w:rPr>
      <w:rFonts w:ascii="Garamond" w:eastAsia="Times New Roman" w:hAnsi="Garamond" w:cs="Times New Roman"/>
      <w:b/>
      <w:snapToGrid w:val="0"/>
      <w:color w:val="000000"/>
      <w:sz w:val="13"/>
      <w:szCs w:val="20"/>
    </w:rPr>
  </w:style>
  <w:style w:type="character" w:customStyle="1" w:styleId="Heading7Char">
    <w:name w:val="Heading 7 Char"/>
    <w:link w:val="Heading7"/>
    <w:rsid w:val="0017058C"/>
    <w:rPr>
      <w:rFonts w:ascii="Garamond" w:eastAsia="Times New Roman" w:hAnsi="Garamond" w:cs="Times New Roman"/>
      <w:spacing w:val="-3"/>
      <w:sz w:val="24"/>
      <w:szCs w:val="20"/>
    </w:rPr>
  </w:style>
  <w:style w:type="character" w:customStyle="1" w:styleId="Heading8Char">
    <w:name w:val="Heading 8 Char"/>
    <w:link w:val="Heading8"/>
    <w:rsid w:val="0017058C"/>
    <w:rPr>
      <w:rFonts w:ascii="Garamond" w:eastAsia="Times New Roman" w:hAnsi="Garamond" w:cs="Times New Roman"/>
      <w:sz w:val="24"/>
      <w:szCs w:val="20"/>
    </w:rPr>
  </w:style>
  <w:style w:type="character" w:customStyle="1" w:styleId="Heading9Char">
    <w:name w:val="Heading 9 Char"/>
    <w:link w:val="Heading9"/>
    <w:rsid w:val="0017058C"/>
    <w:rPr>
      <w:rFonts w:ascii="Arial" w:eastAsia="Times New Roman" w:hAnsi="Arial" w:cs="Times New Roman"/>
      <w:b/>
      <w:szCs w:val="20"/>
    </w:rPr>
  </w:style>
  <w:style w:type="paragraph" w:styleId="BodyText2">
    <w:name w:val="Body Text 2"/>
    <w:aliases w:val="Body Text Continued,bt2,btc"/>
    <w:basedOn w:val="Normal"/>
    <w:link w:val="BodyText2Char"/>
    <w:semiHidden/>
    <w:rsid w:val="0017058C"/>
    <w:pPr>
      <w:spacing w:line="360" w:lineRule="auto"/>
    </w:pPr>
  </w:style>
  <w:style w:type="character" w:customStyle="1" w:styleId="BodyText2Char">
    <w:name w:val="Body Text 2 Char"/>
    <w:aliases w:val="Body Text Continued Char,bt2 Char,btc Char"/>
    <w:link w:val="BodyText2"/>
    <w:semiHidden/>
    <w:rsid w:val="0017058C"/>
    <w:rPr>
      <w:rFonts w:ascii="Garamond" w:eastAsia="Times New Roman" w:hAnsi="Garamond" w:cs="Times New Roman"/>
      <w:sz w:val="24"/>
      <w:szCs w:val="20"/>
    </w:rPr>
  </w:style>
  <w:style w:type="paragraph" w:styleId="BodyText">
    <w:name w:val="Body Text"/>
    <w:basedOn w:val="Normal"/>
    <w:link w:val="BodyTextChar"/>
    <w:semiHidden/>
    <w:rsid w:val="0017058C"/>
    <w:pPr>
      <w:spacing w:line="360" w:lineRule="auto"/>
      <w:jc w:val="center"/>
    </w:pPr>
  </w:style>
  <w:style w:type="character" w:customStyle="1" w:styleId="BodyTextChar">
    <w:name w:val="Body Text Char"/>
    <w:link w:val="BodyText"/>
    <w:semiHidden/>
    <w:rsid w:val="0017058C"/>
    <w:rPr>
      <w:rFonts w:ascii="Garamond" w:eastAsia="Times New Roman" w:hAnsi="Garamond" w:cs="Times New Roman"/>
      <w:sz w:val="24"/>
      <w:szCs w:val="20"/>
    </w:rPr>
  </w:style>
  <w:style w:type="character" w:styleId="Hyperlink">
    <w:name w:val="Hyperlink"/>
    <w:semiHidden/>
    <w:rsid w:val="0017058C"/>
    <w:rPr>
      <w:color w:val="0000FF"/>
      <w:u w:val="single"/>
    </w:rPr>
  </w:style>
  <w:style w:type="character" w:styleId="FollowedHyperlink">
    <w:name w:val="FollowedHyperlink"/>
    <w:semiHidden/>
    <w:rsid w:val="0017058C"/>
    <w:rPr>
      <w:color w:val="800080"/>
      <w:u w:val="single"/>
    </w:rPr>
  </w:style>
  <w:style w:type="paragraph" w:styleId="BodyText3">
    <w:name w:val="Body Text 3"/>
    <w:basedOn w:val="Normal"/>
    <w:link w:val="BodyText3Char"/>
    <w:semiHidden/>
    <w:rsid w:val="0017058C"/>
    <w:pPr>
      <w:jc w:val="center"/>
    </w:pPr>
    <w:rPr>
      <w:rFonts w:ascii="Arial" w:hAnsi="Arial"/>
      <w:b/>
      <w:sz w:val="28"/>
    </w:rPr>
  </w:style>
  <w:style w:type="character" w:customStyle="1" w:styleId="BodyText3Char">
    <w:name w:val="Body Text 3 Char"/>
    <w:link w:val="BodyText3"/>
    <w:semiHidden/>
    <w:rsid w:val="0017058C"/>
    <w:rPr>
      <w:rFonts w:ascii="Arial" w:eastAsia="Times New Roman" w:hAnsi="Arial" w:cs="Times New Roman"/>
      <w:b/>
      <w:sz w:val="28"/>
      <w:szCs w:val="20"/>
    </w:rPr>
  </w:style>
  <w:style w:type="character" w:styleId="CommentReference">
    <w:name w:val="annotation reference"/>
    <w:semiHidden/>
    <w:rsid w:val="0017058C"/>
    <w:rPr>
      <w:sz w:val="16"/>
    </w:rPr>
  </w:style>
  <w:style w:type="paragraph" w:styleId="CommentText">
    <w:name w:val="annotation text"/>
    <w:basedOn w:val="Normal"/>
    <w:link w:val="CommentTextChar"/>
    <w:semiHidden/>
    <w:rsid w:val="0017058C"/>
    <w:rPr>
      <w:rFonts w:ascii="Times New Roman" w:hAnsi="Times New Roman"/>
      <w:sz w:val="20"/>
    </w:rPr>
  </w:style>
  <w:style w:type="character" w:customStyle="1" w:styleId="CommentTextChar">
    <w:name w:val="Comment Text Char"/>
    <w:link w:val="CommentText"/>
    <w:semiHidden/>
    <w:rsid w:val="0017058C"/>
    <w:rPr>
      <w:rFonts w:ascii="Times New Roman" w:eastAsia="Times New Roman" w:hAnsi="Times New Roman" w:cs="Times New Roman"/>
      <w:sz w:val="20"/>
      <w:szCs w:val="20"/>
    </w:rPr>
  </w:style>
  <w:style w:type="paragraph" w:styleId="NormalWeb">
    <w:name w:val="Normal (Web)"/>
    <w:basedOn w:val="Normal"/>
    <w:semiHidden/>
    <w:rsid w:val="0017058C"/>
    <w:pPr>
      <w:spacing w:before="100" w:after="100"/>
    </w:pPr>
    <w:rPr>
      <w:rFonts w:ascii="Times New Roman" w:hAnsi="Times New Roman"/>
    </w:rPr>
  </w:style>
  <w:style w:type="paragraph" w:styleId="TOAHeading">
    <w:name w:val="toa heading"/>
    <w:basedOn w:val="Normal"/>
    <w:next w:val="Normal"/>
    <w:semiHidden/>
    <w:rsid w:val="0017058C"/>
    <w:pPr>
      <w:tabs>
        <w:tab w:val="left" w:pos="9000"/>
        <w:tab w:val="right" w:pos="9360"/>
      </w:tabs>
      <w:suppressAutoHyphens/>
      <w:autoSpaceDE w:val="0"/>
      <w:autoSpaceDN w:val="0"/>
      <w:adjustRightInd w:val="0"/>
    </w:pPr>
    <w:rPr>
      <w:rFonts w:ascii="Garmond (W1)" w:hAnsi="Garmond (W1)"/>
    </w:rPr>
  </w:style>
  <w:style w:type="paragraph" w:styleId="BodyTextIndent">
    <w:name w:val="Body Text Indent"/>
    <w:basedOn w:val="Normal"/>
    <w:link w:val="BodyTextIndentChar"/>
    <w:semiHidden/>
    <w:rsid w:val="0017058C"/>
    <w:pPr>
      <w:autoSpaceDE w:val="0"/>
      <w:autoSpaceDN w:val="0"/>
      <w:adjustRightInd w:val="0"/>
      <w:spacing w:line="360" w:lineRule="auto"/>
    </w:pPr>
  </w:style>
  <w:style w:type="character" w:customStyle="1" w:styleId="BodyTextIndentChar">
    <w:name w:val="Body Text Indent Char"/>
    <w:link w:val="BodyTextIndent"/>
    <w:semiHidden/>
    <w:rsid w:val="0017058C"/>
    <w:rPr>
      <w:rFonts w:ascii="Garamond" w:eastAsia="Times New Roman" w:hAnsi="Garamond" w:cs="Times New Roman"/>
      <w:sz w:val="24"/>
      <w:szCs w:val="20"/>
    </w:rPr>
  </w:style>
  <w:style w:type="paragraph" w:styleId="Header">
    <w:name w:val="header"/>
    <w:basedOn w:val="Normal"/>
    <w:link w:val="HeaderChar"/>
    <w:uiPriority w:val="99"/>
    <w:rsid w:val="0017058C"/>
    <w:pPr>
      <w:tabs>
        <w:tab w:val="center" w:pos="4320"/>
        <w:tab w:val="right" w:pos="8640"/>
      </w:tabs>
    </w:pPr>
  </w:style>
  <w:style w:type="character" w:customStyle="1" w:styleId="HeaderChar">
    <w:name w:val="Header Char"/>
    <w:link w:val="Header"/>
    <w:uiPriority w:val="99"/>
    <w:rsid w:val="0017058C"/>
    <w:rPr>
      <w:rFonts w:ascii="Garamond" w:eastAsia="Times New Roman" w:hAnsi="Garamond" w:cs="Times New Roman"/>
      <w:sz w:val="24"/>
      <w:szCs w:val="20"/>
    </w:rPr>
  </w:style>
  <w:style w:type="paragraph" w:styleId="Footer">
    <w:name w:val="footer"/>
    <w:basedOn w:val="Normal"/>
    <w:link w:val="FooterChar"/>
    <w:semiHidden/>
    <w:rsid w:val="0017058C"/>
    <w:pPr>
      <w:tabs>
        <w:tab w:val="center" w:pos="4320"/>
        <w:tab w:val="right" w:pos="8640"/>
      </w:tabs>
    </w:pPr>
  </w:style>
  <w:style w:type="character" w:customStyle="1" w:styleId="FooterChar">
    <w:name w:val="Footer Char"/>
    <w:link w:val="Footer"/>
    <w:semiHidden/>
    <w:rsid w:val="0017058C"/>
    <w:rPr>
      <w:rFonts w:ascii="Garamond" w:eastAsia="Times New Roman" w:hAnsi="Garamond" w:cs="Times New Roman"/>
      <w:sz w:val="24"/>
      <w:szCs w:val="20"/>
    </w:rPr>
  </w:style>
  <w:style w:type="character" w:styleId="PageNumber">
    <w:name w:val="page number"/>
    <w:semiHidden/>
    <w:rsid w:val="0017058C"/>
  </w:style>
  <w:style w:type="paragraph" w:customStyle="1" w:styleId="Preformatted">
    <w:name w:val="Preformatted"/>
    <w:basedOn w:val="Normal"/>
    <w:rsid w:val="0017058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lockText">
    <w:name w:val="Block Text"/>
    <w:basedOn w:val="Normal"/>
    <w:semiHidden/>
    <w:rsid w:val="0017058C"/>
    <w:pPr>
      <w:spacing w:line="264" w:lineRule="auto"/>
      <w:ind w:left="720" w:right="-72"/>
    </w:pPr>
    <w:rPr>
      <w:rFonts w:ascii="Arial" w:hAnsi="Arial"/>
      <w:sz w:val="22"/>
    </w:rPr>
  </w:style>
  <w:style w:type="paragraph" w:styleId="BalloonText">
    <w:name w:val="Balloon Text"/>
    <w:basedOn w:val="Normal"/>
    <w:link w:val="BalloonTextChar"/>
    <w:semiHidden/>
    <w:rsid w:val="0017058C"/>
    <w:rPr>
      <w:rFonts w:ascii="Tahoma" w:hAnsi="Tahoma" w:cs="Tahoma"/>
      <w:sz w:val="16"/>
      <w:szCs w:val="16"/>
    </w:rPr>
  </w:style>
  <w:style w:type="character" w:customStyle="1" w:styleId="BalloonTextChar">
    <w:name w:val="Balloon Text Char"/>
    <w:link w:val="BalloonText"/>
    <w:semiHidden/>
    <w:rsid w:val="0017058C"/>
    <w:rPr>
      <w:rFonts w:ascii="Tahoma" w:eastAsia="Times New Roman" w:hAnsi="Tahoma" w:cs="Tahoma"/>
      <w:sz w:val="16"/>
      <w:szCs w:val="16"/>
    </w:rPr>
  </w:style>
  <w:style w:type="paragraph" w:styleId="HTMLPreformatted">
    <w:name w:val="HTML Preformatted"/>
    <w:basedOn w:val="Normal"/>
    <w:link w:val="HTMLPreformattedChar"/>
    <w:semiHidden/>
    <w:rsid w:val="0017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s="Courier New"/>
      <w:sz w:val="22"/>
      <w:szCs w:val="22"/>
    </w:rPr>
  </w:style>
  <w:style w:type="character" w:customStyle="1" w:styleId="HTMLPreformattedChar">
    <w:name w:val="HTML Preformatted Char"/>
    <w:link w:val="HTMLPreformatted"/>
    <w:semiHidden/>
    <w:rsid w:val="0017058C"/>
    <w:rPr>
      <w:rFonts w:ascii="Courier" w:eastAsia="Courier New" w:hAnsi="Courier" w:cs="Courier New"/>
    </w:rPr>
  </w:style>
  <w:style w:type="character" w:styleId="Strong">
    <w:name w:val="Strong"/>
    <w:uiPriority w:val="99"/>
    <w:qFormat/>
    <w:rsid w:val="0017058C"/>
    <w:rPr>
      <w:b/>
      <w:bCs/>
    </w:rPr>
  </w:style>
  <w:style w:type="paragraph" w:styleId="EnvelopeReturn">
    <w:name w:val="envelope return"/>
    <w:basedOn w:val="Normal"/>
    <w:semiHidden/>
    <w:rsid w:val="0017058C"/>
    <w:rPr>
      <w:rFonts w:ascii="Arial" w:hAnsi="Arial" w:cs="Arial"/>
      <w:sz w:val="20"/>
    </w:rPr>
  </w:style>
  <w:style w:type="paragraph" w:styleId="BodyTextIndent2">
    <w:name w:val="Body Text Indent 2"/>
    <w:basedOn w:val="Normal"/>
    <w:link w:val="BodyTextIndent2Char"/>
    <w:semiHidden/>
    <w:rsid w:val="0017058C"/>
    <w:pPr>
      <w:spacing w:line="288" w:lineRule="auto"/>
      <w:ind w:left="360"/>
      <w:jc w:val="both"/>
    </w:pPr>
    <w:rPr>
      <w:rFonts w:ascii="Arial" w:hAnsi="Arial" w:cs="Arial"/>
      <w:color w:val="000000"/>
      <w:sz w:val="22"/>
    </w:rPr>
  </w:style>
  <w:style w:type="character" w:customStyle="1" w:styleId="BodyTextIndent2Char">
    <w:name w:val="Body Text Indent 2 Char"/>
    <w:link w:val="BodyTextIndent2"/>
    <w:semiHidden/>
    <w:rsid w:val="0017058C"/>
    <w:rPr>
      <w:rFonts w:ascii="Arial" w:eastAsia="Times New Roman" w:hAnsi="Arial" w:cs="Arial"/>
      <w:color w:val="000000"/>
      <w:szCs w:val="20"/>
    </w:rPr>
  </w:style>
  <w:style w:type="paragraph" w:styleId="CommentSubject">
    <w:name w:val="annotation subject"/>
    <w:basedOn w:val="CommentText"/>
    <w:next w:val="CommentText"/>
    <w:link w:val="CommentSubjectChar"/>
    <w:semiHidden/>
    <w:unhideWhenUsed/>
    <w:rsid w:val="0017058C"/>
    <w:rPr>
      <w:rFonts w:ascii="Garamond" w:hAnsi="Garamond"/>
      <w:b/>
      <w:bCs/>
    </w:rPr>
  </w:style>
  <w:style w:type="character" w:customStyle="1" w:styleId="CommentSubjectChar">
    <w:name w:val="Comment Subject Char"/>
    <w:link w:val="CommentSubject"/>
    <w:semiHidden/>
    <w:rsid w:val="0017058C"/>
    <w:rPr>
      <w:rFonts w:ascii="Garamond" w:eastAsia="Times New Roman" w:hAnsi="Garamond" w:cs="Times New Roman"/>
      <w:b/>
      <w:bCs/>
      <w:sz w:val="20"/>
      <w:szCs w:val="20"/>
    </w:rPr>
  </w:style>
  <w:style w:type="character" w:customStyle="1" w:styleId="newsstory">
    <w:name w:val="news_story"/>
    <w:rsid w:val="0017058C"/>
  </w:style>
  <w:style w:type="paragraph" w:styleId="ListParagraph">
    <w:name w:val="List Paragraph"/>
    <w:basedOn w:val="Normal"/>
    <w:uiPriority w:val="34"/>
    <w:qFormat/>
    <w:rsid w:val="0017058C"/>
    <w:pPr>
      <w:ind w:left="720"/>
    </w:pPr>
  </w:style>
  <w:style w:type="paragraph" w:styleId="NoSpacing">
    <w:name w:val="No Spacing"/>
    <w:uiPriority w:val="1"/>
    <w:qFormat/>
    <w:rsid w:val="0017058C"/>
    <w:rPr>
      <w:sz w:val="22"/>
      <w:szCs w:val="22"/>
    </w:rPr>
  </w:style>
  <w:style w:type="paragraph" w:styleId="Revision">
    <w:name w:val="Revision"/>
    <w:hidden/>
    <w:uiPriority w:val="99"/>
    <w:semiHidden/>
    <w:rsid w:val="0017058C"/>
    <w:rPr>
      <w:rFonts w:ascii="Garamond" w:eastAsia="Times New Roman" w:hAnsi="Garamond"/>
      <w:sz w:val="24"/>
    </w:rPr>
  </w:style>
  <w:style w:type="paragraph" w:customStyle="1" w:styleId="NormalWeb26">
    <w:name w:val="Normal (Web)_26"/>
    <w:basedOn w:val="Normal"/>
    <w:uiPriority w:val="99"/>
    <w:rsid w:val="0017058C"/>
    <w:pPr>
      <w:spacing w:before="100" w:beforeAutospacing="1" w:after="100" w:afterAutospacing="1"/>
    </w:pPr>
    <w:rPr>
      <w:rFonts w:ascii="Times New Roman" w:hAnsi="Times New Roman"/>
      <w:szCs w:val="24"/>
    </w:rPr>
  </w:style>
  <w:style w:type="paragraph" w:customStyle="1" w:styleId="NormalWeb1">
    <w:name w:val="Normal (Web)_1"/>
    <w:basedOn w:val="Normal"/>
    <w:uiPriority w:val="99"/>
    <w:unhideWhenUsed/>
    <w:rsid w:val="0017058C"/>
    <w:pPr>
      <w:spacing w:before="100" w:beforeAutospacing="1" w:after="100" w:afterAutospacing="1"/>
    </w:pPr>
    <w:rPr>
      <w:rFonts w:ascii="Times New Roman" w:hAnsi="Times New Roman"/>
      <w:szCs w:val="24"/>
    </w:rPr>
  </w:style>
  <w:style w:type="paragraph" w:customStyle="1" w:styleId="DeltaViewTableHeading">
    <w:name w:val="DeltaView Table Heading"/>
    <w:basedOn w:val="Normal"/>
    <w:rsid w:val="0017058C"/>
    <w:pPr>
      <w:autoSpaceDE w:val="0"/>
      <w:autoSpaceDN w:val="0"/>
      <w:adjustRightInd w:val="0"/>
      <w:spacing w:after="120"/>
    </w:pPr>
    <w:rPr>
      <w:rFonts w:ascii="Arial" w:hAnsi="Arial" w:cs="Arial"/>
      <w:b/>
      <w:bCs/>
      <w:szCs w:val="24"/>
    </w:rPr>
  </w:style>
  <w:style w:type="character" w:customStyle="1" w:styleId="apple-converted-space">
    <w:name w:val="apple-converted-space"/>
    <w:rsid w:val="0017058C"/>
  </w:style>
  <w:style w:type="paragraph" w:styleId="PlainText">
    <w:name w:val="Plain Text"/>
    <w:basedOn w:val="Normal"/>
    <w:link w:val="PlainTextChar"/>
    <w:uiPriority w:val="99"/>
    <w:semiHidden/>
    <w:unhideWhenUsed/>
    <w:rsid w:val="0017058C"/>
    <w:rPr>
      <w:rFonts w:ascii="Arial" w:eastAsia="Calibri" w:hAnsi="Arial" w:cs="Consolas"/>
      <w:sz w:val="20"/>
      <w:szCs w:val="21"/>
    </w:rPr>
  </w:style>
  <w:style w:type="character" w:customStyle="1" w:styleId="PlainTextChar">
    <w:name w:val="Plain Text Char"/>
    <w:link w:val="PlainText"/>
    <w:uiPriority w:val="99"/>
    <w:semiHidden/>
    <w:rsid w:val="0017058C"/>
    <w:rPr>
      <w:rFonts w:ascii="Arial" w:eastAsia="Calibri" w:hAnsi="Arial" w:cs="Consolas"/>
      <w:sz w:val="20"/>
      <w:szCs w:val="21"/>
    </w:rPr>
  </w:style>
  <w:style w:type="character" w:customStyle="1" w:styleId="st">
    <w:name w:val="st"/>
    <w:rsid w:val="0017058C"/>
  </w:style>
  <w:style w:type="paragraph" w:customStyle="1" w:styleId="Default">
    <w:name w:val="Default"/>
    <w:rsid w:val="0017058C"/>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170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articleparagraph">
    <w:name w:val="dj_article_paragraph"/>
    <w:basedOn w:val="Normal"/>
    <w:rsid w:val="002E3DE8"/>
    <w:pPr>
      <w:spacing w:before="100" w:beforeAutospacing="1" w:after="100" w:afterAutospacing="1"/>
    </w:pPr>
    <w:rPr>
      <w:rFonts w:ascii="Times New Roman" w:eastAsia="Calibri" w:hAnsi="Times New Roman"/>
      <w:szCs w:val="24"/>
    </w:rPr>
  </w:style>
  <w:style w:type="character" w:customStyle="1" w:styleId="djarticleplain">
    <w:name w:val="dj_article_plain"/>
    <w:rsid w:val="002E3DE8"/>
  </w:style>
  <w:style w:type="character" w:styleId="PlaceholderText">
    <w:name w:val="Placeholder Text"/>
    <w:basedOn w:val="DefaultParagraphFont"/>
    <w:uiPriority w:val="99"/>
    <w:semiHidden/>
    <w:rsid w:val="00F324C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envelope return" w:uiPriority="0"/>
    <w:lsdException w:name="annotation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8C"/>
    <w:rPr>
      <w:rFonts w:ascii="Garamond" w:eastAsia="Times New Roman" w:hAnsi="Garamond"/>
      <w:sz w:val="24"/>
    </w:rPr>
  </w:style>
  <w:style w:type="paragraph" w:styleId="Heading1">
    <w:name w:val="heading 1"/>
    <w:basedOn w:val="Normal"/>
    <w:next w:val="Normal"/>
    <w:link w:val="Heading1Char"/>
    <w:qFormat/>
    <w:rsid w:val="0017058C"/>
    <w:pPr>
      <w:keepNext/>
      <w:tabs>
        <w:tab w:val="left" w:pos="5760"/>
        <w:tab w:val="right" w:pos="9000"/>
      </w:tabs>
      <w:suppressAutoHyphens/>
      <w:jc w:val="both"/>
      <w:outlineLvl w:val="0"/>
    </w:pPr>
    <w:rPr>
      <w:b/>
      <w:spacing w:val="-3"/>
      <w:sz w:val="32"/>
    </w:rPr>
  </w:style>
  <w:style w:type="paragraph" w:styleId="Heading2">
    <w:name w:val="heading 2"/>
    <w:basedOn w:val="Normal"/>
    <w:next w:val="Normal"/>
    <w:link w:val="Heading2Char"/>
    <w:qFormat/>
    <w:rsid w:val="0017058C"/>
    <w:pPr>
      <w:keepNext/>
      <w:spacing w:line="312" w:lineRule="auto"/>
      <w:outlineLvl w:val="1"/>
    </w:pPr>
    <w:rPr>
      <w:rFonts w:ascii="Arial" w:hAnsi="Arial"/>
      <w:b/>
    </w:rPr>
  </w:style>
  <w:style w:type="paragraph" w:styleId="Heading3">
    <w:name w:val="heading 3"/>
    <w:basedOn w:val="Normal"/>
    <w:next w:val="Normal"/>
    <w:link w:val="Heading3Char"/>
    <w:qFormat/>
    <w:rsid w:val="0017058C"/>
    <w:pPr>
      <w:keepNext/>
      <w:spacing w:line="312" w:lineRule="auto"/>
      <w:ind w:right="-180"/>
      <w:outlineLvl w:val="2"/>
    </w:pPr>
    <w:rPr>
      <w:rFonts w:ascii="Arial" w:hAnsi="Arial"/>
      <w:b/>
    </w:rPr>
  </w:style>
  <w:style w:type="paragraph" w:styleId="Heading4">
    <w:name w:val="heading 4"/>
    <w:basedOn w:val="Normal"/>
    <w:next w:val="Normal"/>
    <w:link w:val="Heading4Char"/>
    <w:qFormat/>
    <w:rsid w:val="0017058C"/>
    <w:pPr>
      <w:keepNext/>
      <w:spacing w:line="288" w:lineRule="auto"/>
      <w:jc w:val="both"/>
      <w:outlineLvl w:val="3"/>
    </w:pPr>
    <w:rPr>
      <w:rFonts w:ascii="Arial" w:hAnsi="Arial"/>
      <w:b/>
      <w:sz w:val="22"/>
    </w:rPr>
  </w:style>
  <w:style w:type="paragraph" w:styleId="Heading5">
    <w:name w:val="heading 5"/>
    <w:basedOn w:val="Normal"/>
    <w:next w:val="Normal"/>
    <w:link w:val="Heading5Char"/>
    <w:qFormat/>
    <w:rsid w:val="0017058C"/>
    <w:pPr>
      <w:keepNext/>
      <w:spacing w:line="288" w:lineRule="auto"/>
      <w:outlineLvl w:val="4"/>
    </w:pPr>
    <w:rPr>
      <w:rFonts w:ascii="Arial" w:hAnsi="Arial"/>
      <w:b/>
      <w:sz w:val="22"/>
    </w:rPr>
  </w:style>
  <w:style w:type="paragraph" w:styleId="Heading6">
    <w:name w:val="heading 6"/>
    <w:basedOn w:val="Normal"/>
    <w:next w:val="Normal"/>
    <w:link w:val="Heading6Char"/>
    <w:qFormat/>
    <w:rsid w:val="0017058C"/>
    <w:pPr>
      <w:keepNext/>
      <w:jc w:val="center"/>
      <w:outlineLvl w:val="5"/>
    </w:pPr>
    <w:rPr>
      <w:b/>
      <w:snapToGrid w:val="0"/>
      <w:color w:val="000000"/>
      <w:sz w:val="13"/>
    </w:rPr>
  </w:style>
  <w:style w:type="paragraph" w:styleId="Heading7">
    <w:name w:val="heading 7"/>
    <w:basedOn w:val="Normal"/>
    <w:next w:val="Normal"/>
    <w:link w:val="Heading7Char"/>
    <w:qFormat/>
    <w:rsid w:val="0017058C"/>
    <w:pPr>
      <w:keepNext/>
      <w:suppressAutoHyphens/>
      <w:jc w:val="both"/>
      <w:outlineLvl w:val="6"/>
    </w:pPr>
    <w:rPr>
      <w:spacing w:val="-3"/>
    </w:rPr>
  </w:style>
  <w:style w:type="paragraph" w:styleId="Heading8">
    <w:name w:val="heading 8"/>
    <w:basedOn w:val="Normal"/>
    <w:next w:val="Normal"/>
    <w:link w:val="Heading8Char"/>
    <w:qFormat/>
    <w:rsid w:val="0017058C"/>
    <w:pPr>
      <w:keepNext/>
      <w:suppressAutoHyphens/>
      <w:outlineLvl w:val="7"/>
    </w:pPr>
  </w:style>
  <w:style w:type="paragraph" w:styleId="Heading9">
    <w:name w:val="heading 9"/>
    <w:basedOn w:val="Normal"/>
    <w:next w:val="Normal"/>
    <w:link w:val="Heading9Char"/>
    <w:qFormat/>
    <w:rsid w:val="0017058C"/>
    <w:pPr>
      <w:keepNext/>
      <w:tabs>
        <w:tab w:val="left" w:pos="270"/>
      </w:tabs>
      <w:ind w:right="256"/>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058C"/>
    <w:rPr>
      <w:rFonts w:ascii="Garamond" w:eastAsia="Times New Roman" w:hAnsi="Garamond" w:cs="Times New Roman"/>
      <w:b/>
      <w:spacing w:val="-3"/>
      <w:sz w:val="32"/>
      <w:szCs w:val="20"/>
    </w:rPr>
  </w:style>
  <w:style w:type="character" w:customStyle="1" w:styleId="Heading2Char">
    <w:name w:val="Heading 2 Char"/>
    <w:link w:val="Heading2"/>
    <w:rsid w:val="0017058C"/>
    <w:rPr>
      <w:rFonts w:ascii="Arial" w:eastAsia="Times New Roman" w:hAnsi="Arial" w:cs="Times New Roman"/>
      <w:b/>
      <w:sz w:val="24"/>
      <w:szCs w:val="20"/>
    </w:rPr>
  </w:style>
  <w:style w:type="character" w:customStyle="1" w:styleId="Heading3Char">
    <w:name w:val="Heading 3 Char"/>
    <w:link w:val="Heading3"/>
    <w:rsid w:val="0017058C"/>
    <w:rPr>
      <w:rFonts w:ascii="Arial" w:eastAsia="Times New Roman" w:hAnsi="Arial" w:cs="Times New Roman"/>
      <w:b/>
      <w:sz w:val="24"/>
      <w:szCs w:val="20"/>
    </w:rPr>
  </w:style>
  <w:style w:type="character" w:customStyle="1" w:styleId="Heading4Char">
    <w:name w:val="Heading 4 Char"/>
    <w:link w:val="Heading4"/>
    <w:rsid w:val="0017058C"/>
    <w:rPr>
      <w:rFonts w:ascii="Arial" w:eastAsia="Times New Roman" w:hAnsi="Arial" w:cs="Times New Roman"/>
      <w:b/>
      <w:szCs w:val="20"/>
    </w:rPr>
  </w:style>
  <w:style w:type="character" w:customStyle="1" w:styleId="Heading5Char">
    <w:name w:val="Heading 5 Char"/>
    <w:link w:val="Heading5"/>
    <w:rsid w:val="0017058C"/>
    <w:rPr>
      <w:rFonts w:ascii="Arial" w:eastAsia="Times New Roman" w:hAnsi="Arial" w:cs="Times New Roman"/>
      <w:b/>
      <w:szCs w:val="20"/>
    </w:rPr>
  </w:style>
  <w:style w:type="character" w:customStyle="1" w:styleId="Heading6Char">
    <w:name w:val="Heading 6 Char"/>
    <w:link w:val="Heading6"/>
    <w:rsid w:val="0017058C"/>
    <w:rPr>
      <w:rFonts w:ascii="Garamond" w:eastAsia="Times New Roman" w:hAnsi="Garamond" w:cs="Times New Roman"/>
      <w:b/>
      <w:snapToGrid w:val="0"/>
      <w:color w:val="000000"/>
      <w:sz w:val="13"/>
      <w:szCs w:val="20"/>
    </w:rPr>
  </w:style>
  <w:style w:type="character" w:customStyle="1" w:styleId="Heading7Char">
    <w:name w:val="Heading 7 Char"/>
    <w:link w:val="Heading7"/>
    <w:rsid w:val="0017058C"/>
    <w:rPr>
      <w:rFonts w:ascii="Garamond" w:eastAsia="Times New Roman" w:hAnsi="Garamond" w:cs="Times New Roman"/>
      <w:spacing w:val="-3"/>
      <w:sz w:val="24"/>
      <w:szCs w:val="20"/>
    </w:rPr>
  </w:style>
  <w:style w:type="character" w:customStyle="1" w:styleId="Heading8Char">
    <w:name w:val="Heading 8 Char"/>
    <w:link w:val="Heading8"/>
    <w:rsid w:val="0017058C"/>
    <w:rPr>
      <w:rFonts w:ascii="Garamond" w:eastAsia="Times New Roman" w:hAnsi="Garamond" w:cs="Times New Roman"/>
      <w:sz w:val="24"/>
      <w:szCs w:val="20"/>
    </w:rPr>
  </w:style>
  <w:style w:type="character" w:customStyle="1" w:styleId="Heading9Char">
    <w:name w:val="Heading 9 Char"/>
    <w:link w:val="Heading9"/>
    <w:rsid w:val="0017058C"/>
    <w:rPr>
      <w:rFonts w:ascii="Arial" w:eastAsia="Times New Roman" w:hAnsi="Arial" w:cs="Times New Roman"/>
      <w:b/>
      <w:szCs w:val="20"/>
    </w:rPr>
  </w:style>
  <w:style w:type="paragraph" w:styleId="BodyText2">
    <w:name w:val="Body Text 2"/>
    <w:aliases w:val="Body Text Continued,bt2,btc"/>
    <w:basedOn w:val="Normal"/>
    <w:link w:val="BodyText2Char"/>
    <w:semiHidden/>
    <w:rsid w:val="0017058C"/>
    <w:pPr>
      <w:spacing w:line="360" w:lineRule="auto"/>
    </w:pPr>
  </w:style>
  <w:style w:type="character" w:customStyle="1" w:styleId="BodyText2Char">
    <w:name w:val="Body Text 2 Char"/>
    <w:aliases w:val="Body Text Continued Char,bt2 Char,btc Char"/>
    <w:link w:val="BodyText2"/>
    <w:semiHidden/>
    <w:rsid w:val="0017058C"/>
    <w:rPr>
      <w:rFonts w:ascii="Garamond" w:eastAsia="Times New Roman" w:hAnsi="Garamond" w:cs="Times New Roman"/>
      <w:sz w:val="24"/>
      <w:szCs w:val="20"/>
    </w:rPr>
  </w:style>
  <w:style w:type="paragraph" w:styleId="BodyText">
    <w:name w:val="Body Text"/>
    <w:basedOn w:val="Normal"/>
    <w:link w:val="BodyTextChar"/>
    <w:semiHidden/>
    <w:rsid w:val="0017058C"/>
    <w:pPr>
      <w:spacing w:line="360" w:lineRule="auto"/>
      <w:jc w:val="center"/>
    </w:pPr>
  </w:style>
  <w:style w:type="character" w:customStyle="1" w:styleId="BodyTextChar">
    <w:name w:val="Body Text Char"/>
    <w:link w:val="BodyText"/>
    <w:semiHidden/>
    <w:rsid w:val="0017058C"/>
    <w:rPr>
      <w:rFonts w:ascii="Garamond" w:eastAsia="Times New Roman" w:hAnsi="Garamond" w:cs="Times New Roman"/>
      <w:sz w:val="24"/>
      <w:szCs w:val="20"/>
    </w:rPr>
  </w:style>
  <w:style w:type="character" w:styleId="Hyperlink">
    <w:name w:val="Hyperlink"/>
    <w:semiHidden/>
    <w:rsid w:val="0017058C"/>
    <w:rPr>
      <w:color w:val="0000FF"/>
      <w:u w:val="single"/>
    </w:rPr>
  </w:style>
  <w:style w:type="character" w:styleId="FollowedHyperlink">
    <w:name w:val="FollowedHyperlink"/>
    <w:semiHidden/>
    <w:rsid w:val="0017058C"/>
    <w:rPr>
      <w:color w:val="800080"/>
      <w:u w:val="single"/>
    </w:rPr>
  </w:style>
  <w:style w:type="paragraph" w:styleId="BodyText3">
    <w:name w:val="Body Text 3"/>
    <w:basedOn w:val="Normal"/>
    <w:link w:val="BodyText3Char"/>
    <w:semiHidden/>
    <w:rsid w:val="0017058C"/>
    <w:pPr>
      <w:jc w:val="center"/>
    </w:pPr>
    <w:rPr>
      <w:rFonts w:ascii="Arial" w:hAnsi="Arial"/>
      <w:b/>
      <w:sz w:val="28"/>
    </w:rPr>
  </w:style>
  <w:style w:type="character" w:customStyle="1" w:styleId="BodyText3Char">
    <w:name w:val="Body Text 3 Char"/>
    <w:link w:val="BodyText3"/>
    <w:semiHidden/>
    <w:rsid w:val="0017058C"/>
    <w:rPr>
      <w:rFonts w:ascii="Arial" w:eastAsia="Times New Roman" w:hAnsi="Arial" w:cs="Times New Roman"/>
      <w:b/>
      <w:sz w:val="28"/>
      <w:szCs w:val="20"/>
    </w:rPr>
  </w:style>
  <w:style w:type="character" w:styleId="CommentReference">
    <w:name w:val="annotation reference"/>
    <w:semiHidden/>
    <w:rsid w:val="0017058C"/>
    <w:rPr>
      <w:sz w:val="16"/>
    </w:rPr>
  </w:style>
  <w:style w:type="paragraph" w:styleId="CommentText">
    <w:name w:val="annotation text"/>
    <w:basedOn w:val="Normal"/>
    <w:link w:val="CommentTextChar"/>
    <w:semiHidden/>
    <w:rsid w:val="0017058C"/>
    <w:rPr>
      <w:rFonts w:ascii="Times New Roman" w:hAnsi="Times New Roman"/>
      <w:sz w:val="20"/>
    </w:rPr>
  </w:style>
  <w:style w:type="character" w:customStyle="1" w:styleId="CommentTextChar">
    <w:name w:val="Comment Text Char"/>
    <w:link w:val="CommentText"/>
    <w:semiHidden/>
    <w:rsid w:val="0017058C"/>
    <w:rPr>
      <w:rFonts w:ascii="Times New Roman" w:eastAsia="Times New Roman" w:hAnsi="Times New Roman" w:cs="Times New Roman"/>
      <w:sz w:val="20"/>
      <w:szCs w:val="20"/>
    </w:rPr>
  </w:style>
  <w:style w:type="paragraph" w:styleId="NormalWeb">
    <w:name w:val="Normal (Web)"/>
    <w:basedOn w:val="Normal"/>
    <w:semiHidden/>
    <w:rsid w:val="0017058C"/>
    <w:pPr>
      <w:spacing w:before="100" w:after="100"/>
    </w:pPr>
    <w:rPr>
      <w:rFonts w:ascii="Times New Roman" w:hAnsi="Times New Roman"/>
    </w:rPr>
  </w:style>
  <w:style w:type="paragraph" w:styleId="TOAHeading">
    <w:name w:val="toa heading"/>
    <w:basedOn w:val="Normal"/>
    <w:next w:val="Normal"/>
    <w:semiHidden/>
    <w:rsid w:val="0017058C"/>
    <w:pPr>
      <w:tabs>
        <w:tab w:val="left" w:pos="9000"/>
        <w:tab w:val="right" w:pos="9360"/>
      </w:tabs>
      <w:suppressAutoHyphens/>
      <w:autoSpaceDE w:val="0"/>
      <w:autoSpaceDN w:val="0"/>
      <w:adjustRightInd w:val="0"/>
    </w:pPr>
    <w:rPr>
      <w:rFonts w:ascii="Garmond (W1)" w:hAnsi="Garmond (W1)"/>
    </w:rPr>
  </w:style>
  <w:style w:type="paragraph" w:styleId="BodyTextIndent">
    <w:name w:val="Body Text Indent"/>
    <w:basedOn w:val="Normal"/>
    <w:link w:val="BodyTextIndentChar"/>
    <w:semiHidden/>
    <w:rsid w:val="0017058C"/>
    <w:pPr>
      <w:autoSpaceDE w:val="0"/>
      <w:autoSpaceDN w:val="0"/>
      <w:adjustRightInd w:val="0"/>
      <w:spacing w:line="360" w:lineRule="auto"/>
    </w:pPr>
  </w:style>
  <w:style w:type="character" w:customStyle="1" w:styleId="BodyTextIndentChar">
    <w:name w:val="Body Text Indent Char"/>
    <w:link w:val="BodyTextIndent"/>
    <w:semiHidden/>
    <w:rsid w:val="0017058C"/>
    <w:rPr>
      <w:rFonts w:ascii="Garamond" w:eastAsia="Times New Roman" w:hAnsi="Garamond" w:cs="Times New Roman"/>
      <w:sz w:val="24"/>
      <w:szCs w:val="20"/>
    </w:rPr>
  </w:style>
  <w:style w:type="paragraph" w:styleId="Header">
    <w:name w:val="header"/>
    <w:basedOn w:val="Normal"/>
    <w:link w:val="HeaderChar"/>
    <w:uiPriority w:val="99"/>
    <w:rsid w:val="0017058C"/>
    <w:pPr>
      <w:tabs>
        <w:tab w:val="center" w:pos="4320"/>
        <w:tab w:val="right" w:pos="8640"/>
      </w:tabs>
    </w:pPr>
  </w:style>
  <w:style w:type="character" w:customStyle="1" w:styleId="HeaderChar">
    <w:name w:val="Header Char"/>
    <w:link w:val="Header"/>
    <w:uiPriority w:val="99"/>
    <w:rsid w:val="0017058C"/>
    <w:rPr>
      <w:rFonts w:ascii="Garamond" w:eastAsia="Times New Roman" w:hAnsi="Garamond" w:cs="Times New Roman"/>
      <w:sz w:val="24"/>
      <w:szCs w:val="20"/>
    </w:rPr>
  </w:style>
  <w:style w:type="paragraph" w:styleId="Footer">
    <w:name w:val="footer"/>
    <w:basedOn w:val="Normal"/>
    <w:link w:val="FooterChar"/>
    <w:semiHidden/>
    <w:rsid w:val="0017058C"/>
    <w:pPr>
      <w:tabs>
        <w:tab w:val="center" w:pos="4320"/>
        <w:tab w:val="right" w:pos="8640"/>
      </w:tabs>
    </w:pPr>
  </w:style>
  <w:style w:type="character" w:customStyle="1" w:styleId="FooterChar">
    <w:name w:val="Footer Char"/>
    <w:link w:val="Footer"/>
    <w:semiHidden/>
    <w:rsid w:val="0017058C"/>
    <w:rPr>
      <w:rFonts w:ascii="Garamond" w:eastAsia="Times New Roman" w:hAnsi="Garamond" w:cs="Times New Roman"/>
      <w:sz w:val="24"/>
      <w:szCs w:val="20"/>
    </w:rPr>
  </w:style>
  <w:style w:type="character" w:styleId="PageNumber">
    <w:name w:val="page number"/>
    <w:semiHidden/>
    <w:rsid w:val="0017058C"/>
  </w:style>
  <w:style w:type="paragraph" w:customStyle="1" w:styleId="Preformatted">
    <w:name w:val="Preformatted"/>
    <w:basedOn w:val="Normal"/>
    <w:rsid w:val="0017058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lockText">
    <w:name w:val="Block Text"/>
    <w:basedOn w:val="Normal"/>
    <w:semiHidden/>
    <w:rsid w:val="0017058C"/>
    <w:pPr>
      <w:spacing w:line="264" w:lineRule="auto"/>
      <w:ind w:left="720" w:right="-72"/>
    </w:pPr>
    <w:rPr>
      <w:rFonts w:ascii="Arial" w:hAnsi="Arial"/>
      <w:sz w:val="22"/>
    </w:rPr>
  </w:style>
  <w:style w:type="paragraph" w:styleId="BalloonText">
    <w:name w:val="Balloon Text"/>
    <w:basedOn w:val="Normal"/>
    <w:link w:val="BalloonTextChar"/>
    <w:semiHidden/>
    <w:rsid w:val="0017058C"/>
    <w:rPr>
      <w:rFonts w:ascii="Tahoma" w:hAnsi="Tahoma" w:cs="Tahoma"/>
      <w:sz w:val="16"/>
      <w:szCs w:val="16"/>
    </w:rPr>
  </w:style>
  <w:style w:type="character" w:customStyle="1" w:styleId="BalloonTextChar">
    <w:name w:val="Balloon Text Char"/>
    <w:link w:val="BalloonText"/>
    <w:semiHidden/>
    <w:rsid w:val="0017058C"/>
    <w:rPr>
      <w:rFonts w:ascii="Tahoma" w:eastAsia="Times New Roman" w:hAnsi="Tahoma" w:cs="Tahoma"/>
      <w:sz w:val="16"/>
      <w:szCs w:val="16"/>
    </w:rPr>
  </w:style>
  <w:style w:type="paragraph" w:styleId="HTMLPreformatted">
    <w:name w:val="HTML Preformatted"/>
    <w:basedOn w:val="Normal"/>
    <w:link w:val="HTMLPreformattedChar"/>
    <w:semiHidden/>
    <w:rsid w:val="0017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s="Courier New"/>
      <w:sz w:val="22"/>
      <w:szCs w:val="22"/>
    </w:rPr>
  </w:style>
  <w:style w:type="character" w:customStyle="1" w:styleId="HTMLPreformattedChar">
    <w:name w:val="HTML Preformatted Char"/>
    <w:link w:val="HTMLPreformatted"/>
    <w:semiHidden/>
    <w:rsid w:val="0017058C"/>
    <w:rPr>
      <w:rFonts w:ascii="Courier" w:eastAsia="Courier New" w:hAnsi="Courier" w:cs="Courier New"/>
    </w:rPr>
  </w:style>
  <w:style w:type="character" w:styleId="Strong">
    <w:name w:val="Strong"/>
    <w:uiPriority w:val="99"/>
    <w:qFormat/>
    <w:rsid w:val="0017058C"/>
    <w:rPr>
      <w:b/>
      <w:bCs/>
    </w:rPr>
  </w:style>
  <w:style w:type="paragraph" w:styleId="EnvelopeReturn">
    <w:name w:val="envelope return"/>
    <w:basedOn w:val="Normal"/>
    <w:semiHidden/>
    <w:rsid w:val="0017058C"/>
    <w:rPr>
      <w:rFonts w:ascii="Arial" w:hAnsi="Arial" w:cs="Arial"/>
      <w:sz w:val="20"/>
    </w:rPr>
  </w:style>
  <w:style w:type="paragraph" w:styleId="BodyTextIndent2">
    <w:name w:val="Body Text Indent 2"/>
    <w:basedOn w:val="Normal"/>
    <w:link w:val="BodyTextIndent2Char"/>
    <w:semiHidden/>
    <w:rsid w:val="0017058C"/>
    <w:pPr>
      <w:spacing w:line="288" w:lineRule="auto"/>
      <w:ind w:left="360"/>
      <w:jc w:val="both"/>
    </w:pPr>
    <w:rPr>
      <w:rFonts w:ascii="Arial" w:hAnsi="Arial" w:cs="Arial"/>
      <w:color w:val="000000"/>
      <w:sz w:val="22"/>
    </w:rPr>
  </w:style>
  <w:style w:type="character" w:customStyle="1" w:styleId="BodyTextIndent2Char">
    <w:name w:val="Body Text Indent 2 Char"/>
    <w:link w:val="BodyTextIndent2"/>
    <w:semiHidden/>
    <w:rsid w:val="0017058C"/>
    <w:rPr>
      <w:rFonts w:ascii="Arial" w:eastAsia="Times New Roman" w:hAnsi="Arial" w:cs="Arial"/>
      <w:color w:val="000000"/>
      <w:szCs w:val="20"/>
    </w:rPr>
  </w:style>
  <w:style w:type="paragraph" w:styleId="CommentSubject">
    <w:name w:val="annotation subject"/>
    <w:basedOn w:val="CommentText"/>
    <w:next w:val="CommentText"/>
    <w:link w:val="CommentSubjectChar"/>
    <w:semiHidden/>
    <w:unhideWhenUsed/>
    <w:rsid w:val="0017058C"/>
    <w:rPr>
      <w:rFonts w:ascii="Garamond" w:hAnsi="Garamond"/>
      <w:b/>
      <w:bCs/>
    </w:rPr>
  </w:style>
  <w:style w:type="character" w:customStyle="1" w:styleId="CommentSubjectChar">
    <w:name w:val="Comment Subject Char"/>
    <w:link w:val="CommentSubject"/>
    <w:semiHidden/>
    <w:rsid w:val="0017058C"/>
    <w:rPr>
      <w:rFonts w:ascii="Garamond" w:eastAsia="Times New Roman" w:hAnsi="Garamond" w:cs="Times New Roman"/>
      <w:b/>
      <w:bCs/>
      <w:sz w:val="20"/>
      <w:szCs w:val="20"/>
    </w:rPr>
  </w:style>
  <w:style w:type="character" w:customStyle="1" w:styleId="newsstory">
    <w:name w:val="news_story"/>
    <w:rsid w:val="0017058C"/>
  </w:style>
  <w:style w:type="paragraph" w:styleId="ListParagraph">
    <w:name w:val="List Paragraph"/>
    <w:basedOn w:val="Normal"/>
    <w:uiPriority w:val="34"/>
    <w:qFormat/>
    <w:rsid w:val="0017058C"/>
    <w:pPr>
      <w:ind w:left="720"/>
    </w:pPr>
  </w:style>
  <w:style w:type="paragraph" w:styleId="NoSpacing">
    <w:name w:val="No Spacing"/>
    <w:uiPriority w:val="1"/>
    <w:qFormat/>
    <w:rsid w:val="0017058C"/>
    <w:rPr>
      <w:sz w:val="22"/>
      <w:szCs w:val="22"/>
    </w:rPr>
  </w:style>
  <w:style w:type="paragraph" w:styleId="Revision">
    <w:name w:val="Revision"/>
    <w:hidden/>
    <w:uiPriority w:val="99"/>
    <w:semiHidden/>
    <w:rsid w:val="0017058C"/>
    <w:rPr>
      <w:rFonts w:ascii="Garamond" w:eastAsia="Times New Roman" w:hAnsi="Garamond"/>
      <w:sz w:val="24"/>
    </w:rPr>
  </w:style>
  <w:style w:type="paragraph" w:customStyle="1" w:styleId="NormalWeb26">
    <w:name w:val="Normal (Web)_26"/>
    <w:basedOn w:val="Normal"/>
    <w:uiPriority w:val="99"/>
    <w:rsid w:val="0017058C"/>
    <w:pPr>
      <w:spacing w:before="100" w:beforeAutospacing="1" w:after="100" w:afterAutospacing="1"/>
    </w:pPr>
    <w:rPr>
      <w:rFonts w:ascii="Times New Roman" w:hAnsi="Times New Roman"/>
      <w:szCs w:val="24"/>
    </w:rPr>
  </w:style>
  <w:style w:type="paragraph" w:customStyle="1" w:styleId="NormalWeb1">
    <w:name w:val="Normal (Web)_1"/>
    <w:basedOn w:val="Normal"/>
    <w:uiPriority w:val="99"/>
    <w:unhideWhenUsed/>
    <w:rsid w:val="0017058C"/>
    <w:pPr>
      <w:spacing w:before="100" w:beforeAutospacing="1" w:after="100" w:afterAutospacing="1"/>
    </w:pPr>
    <w:rPr>
      <w:rFonts w:ascii="Times New Roman" w:hAnsi="Times New Roman"/>
      <w:szCs w:val="24"/>
    </w:rPr>
  </w:style>
  <w:style w:type="paragraph" w:customStyle="1" w:styleId="DeltaViewTableHeading">
    <w:name w:val="DeltaView Table Heading"/>
    <w:basedOn w:val="Normal"/>
    <w:rsid w:val="0017058C"/>
    <w:pPr>
      <w:autoSpaceDE w:val="0"/>
      <w:autoSpaceDN w:val="0"/>
      <w:adjustRightInd w:val="0"/>
      <w:spacing w:after="120"/>
    </w:pPr>
    <w:rPr>
      <w:rFonts w:ascii="Arial" w:hAnsi="Arial" w:cs="Arial"/>
      <w:b/>
      <w:bCs/>
      <w:szCs w:val="24"/>
    </w:rPr>
  </w:style>
  <w:style w:type="character" w:customStyle="1" w:styleId="apple-converted-space">
    <w:name w:val="apple-converted-space"/>
    <w:rsid w:val="0017058C"/>
  </w:style>
  <w:style w:type="paragraph" w:styleId="PlainText">
    <w:name w:val="Plain Text"/>
    <w:basedOn w:val="Normal"/>
    <w:link w:val="PlainTextChar"/>
    <w:uiPriority w:val="99"/>
    <w:semiHidden/>
    <w:unhideWhenUsed/>
    <w:rsid w:val="0017058C"/>
    <w:rPr>
      <w:rFonts w:ascii="Arial" w:eastAsia="Calibri" w:hAnsi="Arial" w:cs="Consolas"/>
      <w:sz w:val="20"/>
      <w:szCs w:val="21"/>
    </w:rPr>
  </w:style>
  <w:style w:type="character" w:customStyle="1" w:styleId="PlainTextChar">
    <w:name w:val="Plain Text Char"/>
    <w:link w:val="PlainText"/>
    <w:uiPriority w:val="99"/>
    <w:semiHidden/>
    <w:rsid w:val="0017058C"/>
    <w:rPr>
      <w:rFonts w:ascii="Arial" w:eastAsia="Calibri" w:hAnsi="Arial" w:cs="Consolas"/>
      <w:sz w:val="20"/>
      <w:szCs w:val="21"/>
    </w:rPr>
  </w:style>
  <w:style w:type="character" w:customStyle="1" w:styleId="st">
    <w:name w:val="st"/>
    <w:rsid w:val="0017058C"/>
  </w:style>
  <w:style w:type="paragraph" w:customStyle="1" w:styleId="Default">
    <w:name w:val="Default"/>
    <w:rsid w:val="0017058C"/>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170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articleparagraph">
    <w:name w:val="dj_article_paragraph"/>
    <w:basedOn w:val="Normal"/>
    <w:rsid w:val="002E3DE8"/>
    <w:pPr>
      <w:spacing w:before="100" w:beforeAutospacing="1" w:after="100" w:afterAutospacing="1"/>
    </w:pPr>
    <w:rPr>
      <w:rFonts w:ascii="Times New Roman" w:eastAsia="Calibri" w:hAnsi="Times New Roman"/>
      <w:szCs w:val="24"/>
    </w:rPr>
  </w:style>
  <w:style w:type="character" w:customStyle="1" w:styleId="djarticleplain">
    <w:name w:val="dj_article_plain"/>
    <w:rsid w:val="002E3DE8"/>
  </w:style>
  <w:style w:type="character" w:styleId="PlaceholderText">
    <w:name w:val="Placeholder Text"/>
    <w:basedOn w:val="DefaultParagraphFont"/>
    <w:uiPriority w:val="99"/>
    <w:semiHidden/>
    <w:rsid w:val="00F324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xstar.t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xst@jci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e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xstar.tv/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ctiveLinkData xmlns:i="http://www.w3.org/2001/XMLSchema-instance" xmlns="http://www.rrdonnelley.com/programs/activelink/data">
  <CreatedApplicationName>RRD ActiveLink Word Add-in</CreatedApplicationName>
  <CreatedApplicationVersion>1.9.5.43</CreatedApplicationVersion>
  <CreatedBy>NEXSTAR\mhoyla</CreatedBy>
  <CreatedDate>2015-10-06T23:42:55.0263908Z</CreatedDate>
  <ModifiedApplicationName>RRD ActiveLink Word Add-in</ModifiedApplicationName>
  <ModifiedApplicationVersion>2.1.0.24</ModifiedApplicationVersion>
  <ModifiedBy>NEXSTAR\mhoyla</ModifiedBy>
  <LastSavedDate>2016-02-16T23:49:41.8954277Z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center</TableAlignment>
  </DefaultPreferences>
  <ContentControls>
    <ContentControlData>
      <CreatedApplicationName>RRD ActiveLink Word Add-in</CreatedApplicationName>
      <CreatedApplicationVersion>1.9.5.43</CreatedApplicationVersion>
      <CreatedBy>NEXSTAR\mhoyla</CreatedBy>
      <CreatedDate>2015-10-13T01:35:47.7664653Z</CreatedDate>
      <ModifiedApplicationName>RRD ActiveLink Word Add-in</ModifiedApplicationName>
      <ModifiedApplicationVersion>2.1.0.24</ModifiedApplicationVersion>
      <ModifiedBy>NEXSTAR\mhoyla</ModifiedBy>
      <LastSavedDate>2016-02-16T23:45:53.0565107Z</LastSavedDate>
      <SdtTitle>AL-PR_Stmt_Ops - Nexstar_Mission_Marshall_Dec312015</SdtTitle>
      <SdtTag>54f3c2d8-91ee-4b7a-91b7-6fcace7db13e</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center</TableAlignment>
      </Preferences>
      <ExcelRangeName>PR_Stmt_Ops</ExcelRangeName>
      <ExcelRange>
        <Left>1</Left>
        <Top>48</Top>
        <Right>9</Right>
        <Bottom>75</Bottom>
      </ExcelRange>
      <WorkbookAbsoluteFilePath>https://my.activedisclosure.com/sites/nexstar/2015/Nexstar/NXST-10K-20151231/Project Document Library/Excel Workbooks/Nexstar_Mission_Marshall_Dec312015.xlsx</WorkbookAbsoluteFilePath>
      <WorkbookRelativeFilePath>../../../NXST-10K-20151231/Project%20Document%20Library/Excel%20Workbooks/Nexstar_Mission_Marshall_Dec312015.xlsx</WorkbookRelativeFilePath>
      <WorksheetName>PR Tables</WorksheetName>
      <TableWidthType>Percent100</TableWidthType>
      <TableWidthPercent>100</TableWidthPercent>
      <ExcelColumnData>
        <ExcelColumnData>
          <ExcelColumnIndex>0</ExcelColumnIndex>
          <WordColumnCount>1</WordColumnCount>
          <Hidden>false</Hidden>
          <WidthInTwips>5655</WidthInTwips>
        </ExcelColumnData>
        <ExcelColumnData>
          <ExcelColumnIndex>1</ExcelColumnIndex>
          <WordColumnCount>1</WordColumnCount>
          <Hidden>false</Hidden>
          <WidthInTwips>135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135</WidthInTwips>
        </ExcelColumnData>
        <ExcelColumnData>
          <ExcelColumnIndex>4</ExcelColumnIndex>
          <WordColumnCount>3</WordColumnCount>
          <Hidden>false</Hidden>
          <WidthInTwips>1335</WidthInTwips>
        </ExcelColumnData>
        <ExcelColumnData>
          <ExcelColumnIndex>5</ExcelColumnIndex>
          <WordColumnCount>1</WordColumnCount>
          <Hidden>false</Hidden>
          <WidthInTwips>180</WidthInTwips>
        </ExcelColumnData>
        <ExcelColumnData>
          <ExcelColumnIndex>6</ExcelColumnIndex>
          <WordColumnCount>3</WordColumnCount>
          <Hidden>false</Hidden>
          <WidthInTwips>1005</WidthInTwips>
        </ExcelColumnData>
        <ExcelColumnData>
          <ExcelColumnIndex>7</ExcelColumnIndex>
          <WordColumnCount>1</WordColumnCount>
          <Hidden>false</Hidden>
          <WidthInTwips>135</WidthInTwips>
        </ExcelColumnData>
        <ExcelColumnData>
          <ExcelColumnIndex>8</ExcelColumnIndex>
          <WordColumnCount>3</WordColumnCount>
          <Hidden>false</Hidden>
          <WidthInTwips>1380</WidthInTwips>
        </ExcelColumnData>
      </ExcelColumnData>
      <ExcelMergedAreas>
        <Rectangle>
          <Left>3</Left>
          <Top>48</Top>
          <Right>5</Right>
          <Bottom>48</Bottom>
        </Rectangle>
        <Rectangle>
          <Left>7</Left>
          <Top>48</Top>
          <Right>9</Right>
          <Bottom>48</Bottom>
        </Rectangle>
      </ExcelMergedAreas>
      <UseRefreshCodePath>true</UseRefreshCodePath>
      <ExcelHiddenRows xmlns:d4p1="http://schemas.microsoft.com/2003/10/Serialization/Arrays"/>
    </ContentControlData>
    <ContentControlData>
      <CreatedApplicationName>RRD ActiveLink Word Add-in</CreatedApplicationName>
      <CreatedApplicationVersion>1.9.5.43</CreatedApplicationVersion>
      <CreatedBy>NEXSTAR\mhoyla</CreatedBy>
      <CreatedDate>2015-10-13T01:37:55.0096259Z</CreatedDate>
      <ModifiedApplicationName>RRD ActiveLink Word Add-in</ModifiedApplicationName>
      <ModifiedApplicationVersion>2.1.0.24</ModifiedApplicationVersion>
      <ModifiedBy>NEXSTAR\mhoyla</ModifiedBy>
      <LastSavedDate>2016-02-09T17:17:55.21269Z</LastSavedDate>
      <SdtTitle>AL-PR_BCF_EBITDA - Nexstar_Mission_Marshall_Dec312015</SdtTitle>
      <SdtTag>198d0ce8-49b7-43ce-8564-890986e05f11</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center</TableAlignment>
      </Preferences>
      <ExcelRangeName>PR_BCF_EBITDA</ExcelRangeName>
      <ExcelRange>
        <Left>1</Left>
        <Top>85</Top>
        <Right>9</Right>
        <Bottom>108</Bottom>
      </ExcelRange>
      <WorkbookAbsoluteFilePath>https://my.activedisclosure.com/sites/nexstar/2015/Nexstar/NXST-10K-20151231/Project Document Library/Excel Workbooks/Nexstar_Mission_Marshall_Dec312015.xlsx</WorkbookAbsoluteFilePath>
      <WorkbookRelativeFilePath>../../../NXST-10K-20151231/Project%20Document%20Library/Excel%20Workbooks/Nexstar_Mission_Marshall_Dec312015.xlsx</WorkbookRelativeFilePath>
      <WorksheetName>PR Tables</WorksheetName>
      <TableWidthType>Percent100</TableWidthType>
      <TableWidthPercent>100</TableWidthPercent>
      <ExcelColumnData>
        <ExcelColumnData>
          <ExcelColumnIndex>0</ExcelColumnIndex>
          <WordColumnCount>1</WordColumnCount>
          <Hidden>false</Hidden>
          <WidthInTwips>6210</WidthInTwips>
        </ExcelColumnData>
        <ExcelColumnData>
          <ExcelColumnIndex>1</ExcelColumnIndex>
          <WordColumnCount>1</WordColumnCount>
          <Hidden>false</Hidden>
          <WidthInTwips>135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135</WidthInTwips>
        </ExcelColumnData>
        <ExcelColumnData>
          <ExcelColumnIndex>4</ExcelColumnIndex>
          <WordColumnCount>3</WordColumnCount>
          <Hidden>false</Hidden>
          <WidthInTwips>1335</WidthInTwips>
        </ExcelColumnData>
        <ExcelColumnData>
          <ExcelColumnIndex>5</ExcelColumnIndex>
          <WordColumnCount>1</WordColumnCount>
          <Hidden>false</Hidden>
          <WidthInTwips>180</WidthInTwips>
        </ExcelColumnData>
        <ExcelColumnData>
          <ExcelColumnIndex>6</ExcelColumnIndex>
          <WordColumnCount>3</WordColumnCount>
          <Hidden>false</Hidden>
          <WidthInTwips>1005</WidthInTwips>
        </ExcelColumnData>
        <ExcelColumnData>
          <ExcelColumnIndex>7</ExcelColumnIndex>
          <WordColumnCount>1</WordColumnCount>
          <Hidden>false</Hidden>
          <WidthInTwips>135</WidthInTwips>
        </ExcelColumnData>
        <ExcelColumnData>
          <ExcelColumnIndex>8</ExcelColumnIndex>
          <WordColumnCount>3</WordColumnCount>
          <Hidden>false</Hidden>
          <WidthInTwips>1320</WidthInTwips>
        </ExcelColumnData>
      </ExcelColumnData>
      <ExcelMergedAreas>
        <Rectangle>
          <Left>3</Left>
          <Top>85</Top>
          <Right>5</Right>
          <Bottom>85</Bottom>
        </Rectangle>
        <Rectangle>
          <Left>7</Left>
          <Top>85</Top>
          <Right>9</Right>
          <Bottom>85</Bottom>
        </Rectangle>
      </ExcelMergedAreas>
      <UseRefreshCodePath>true</UseRefreshCodePath>
      <ExcelHiddenRows xmlns:d4p1="http://schemas.microsoft.com/2003/10/Serialization/Arrays"/>
    </ContentControlData>
    <ContentControlData>
      <CreatedApplicationName>RRD ActiveLink Word Add-in</CreatedApplicationName>
      <CreatedApplicationVersion>1.9.5.43</CreatedApplicationVersion>
      <CreatedBy>NEXSTAR\mhoyla</CreatedBy>
      <CreatedDate>2015-10-13T01:38:34.2243671Z</CreatedDate>
      <ModifiedApplicationName>RRD ActiveLink Word Add-in</ModifiedApplicationName>
      <ModifiedApplicationVersion>2.1.0.24</ModifiedApplicationVersion>
      <ModifiedBy>NEXSTAR\mhoyla</ModifiedBy>
      <LastSavedDate>2016-02-16T23:46:30.6868743Z</LastSavedDate>
      <SdtTitle>AL-PR_FCF - Nexstar_Mission_Marshall_Dec312015</SdtTitle>
      <SdtTag>39d63c9b-1e13-4274-b969-9901acb0454e</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center</TableAlignment>
      </Preferences>
      <ExcelRangeName>PR_FCF</ExcelRangeName>
      <ExcelRange>
        <Left>1</Left>
        <Top>111</Top>
        <Right>9</Right>
        <Bottom>130</Bottom>
      </ExcelRange>
      <WorkbookAbsoluteFilePath>https://my.activedisclosure.com/sites/nexstar/2015/Nexstar/NXST-10K-20151231/Project Document Library/Excel Workbooks/Nexstar_Mission_Marshall_Dec312015.xlsx</WorkbookAbsoluteFilePath>
      <WorkbookRelativeFilePath>../../../NXST-10K-20151231/Project%20Document%20Library/Excel%20Workbooks/Nexstar_Mission_Marshall_Dec312015.xlsx</WorkbookRelativeFilePath>
      <WorksheetName>PR Tables</WorksheetName>
      <TableWidthType>Percent100</TableWidthType>
      <TableWidthPercent>100</TableWidthPercent>
      <ExcelColumnData>
        <ExcelColumnData>
          <ExcelColumnIndex>0</ExcelColumnIndex>
          <WordColumnCount>1</WordColumnCount>
          <Hidden>false</Hidden>
          <WidthInTwips>6210</WidthInTwips>
        </ExcelColumnData>
        <ExcelColumnData>
          <ExcelColumnIndex>1</ExcelColumnIndex>
          <WordColumnCount>1</WordColumnCount>
          <Hidden>false</Hidden>
          <WidthInTwips>135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135</WidthInTwips>
        </ExcelColumnData>
        <ExcelColumnData>
          <ExcelColumnIndex>4</ExcelColumnIndex>
          <WordColumnCount>3</WordColumnCount>
          <Hidden>false</Hidden>
          <WidthInTwips>1335</WidthInTwips>
        </ExcelColumnData>
        <ExcelColumnData>
          <ExcelColumnIndex>5</ExcelColumnIndex>
          <WordColumnCount>1</WordColumnCount>
          <Hidden>false</Hidden>
          <WidthInTwips>180</WidthInTwips>
        </ExcelColumnData>
        <ExcelColumnData>
          <ExcelColumnIndex>6</ExcelColumnIndex>
          <WordColumnCount>3</WordColumnCount>
          <Hidden>false</Hidden>
          <WidthInTwips>1005</WidthInTwips>
        </ExcelColumnData>
        <ExcelColumnData>
          <ExcelColumnIndex>7</ExcelColumnIndex>
          <WordColumnCount>1</WordColumnCount>
          <Hidden>false</Hidden>
          <WidthInTwips>135</WidthInTwips>
        </ExcelColumnData>
        <ExcelColumnData>
          <ExcelColumnIndex>8</ExcelColumnIndex>
          <WordColumnCount>3</WordColumnCount>
          <Hidden>false</Hidden>
          <WidthInTwips>1320</WidthInTwips>
        </ExcelColumnData>
      </ExcelColumnData>
      <ExcelMergedAreas>
        <Rectangle>
          <Left>3</Left>
          <Top>111</Top>
          <Right>5</Right>
          <Bottom>111</Bottom>
        </Rectangle>
        <Rectangle>
          <Left>6</Left>
          <Top>111</Top>
          <Right>9</Right>
          <Bottom>111</Bottom>
        </Rectangle>
      </ExcelMergedAreas>
      <UseRefreshCodePath>true</UseRefreshCodePath>
      <ExcelHiddenRows xmlns:d4p1="http://schemas.microsoft.com/2003/10/Serialization/Arrays"/>
    </ContentControlData>
    <ContentControlData>
      <CreatedApplicationName>RRD ActiveLink Word Add-in</CreatedApplicationName>
      <CreatedApplicationVersion>1.9.5.43</CreatedApplicationVersion>
      <CreatedBy>NEXSTAR\mhoyla</CreatedBy>
      <CreatedDate>2015-10-26T14:45:13.2595903Z</CreatedDate>
      <ModifiedApplicationName>RRD ActiveLink Word Add-in</ModifiedApplicationName>
      <ModifiedApplicationVersion>2.0.0.4</ModifiedApplicationVersion>
      <ModifiedBy>NEXSTAR\mhoyla</ModifiedBy>
      <LastSavedDate>2016-01-30T04:42:35.0218717Z</LastSavedDate>
      <SdtTitle>AL-PR_Debt_Obligations - Nexstar_Mission_Marshall_Dec312015</SdtTitle>
      <SdtTag>9acfe9a4-c674-4779-92f4-071052cf043b</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center</TableAlignment>
      </Preferences>
      <ExcelRangeName>PR_Debt_Obligations</ExcelRangeName>
      <ExcelRange>
        <Left>1</Left>
        <Top>33</Top>
        <Right>5</Right>
        <Bottom>40</Bottom>
      </ExcelRange>
      <WorkbookAbsoluteFilePath>https://my.activedisclosure.com/sites/nexstar/2015/Nexstar/NXST-10K-20151231/Project Document Library/Excel Workbooks/Nexstar_Mission_Marshall_Dec312015.xlsx</WorkbookAbsoluteFilePath>
      <WorkbookRelativeFilePath>../../../NXST-10K-20151231/Project%20Document%20Library/Excel%20Workbooks/Nexstar_Mission_Marshall_Dec312015.xlsx</WorkbookRelativeFilePath>
      <WorksheetName>PR Tables</WorksheetName>
      <TableWidthType>Percent100</TableWidthType>
      <TableWidthPercent>100</TableWidthPercent>
      <ExcelColumnData>
        <ExcelColumnData>
          <ExcelColumnIndex>0</ExcelColumnIndex>
          <WordColumnCount>1</WordColumnCount>
          <Hidden>false</Hidden>
          <WidthInTwips>6210</WidthInTwips>
        </ExcelColumnData>
        <ExcelColumnData>
          <ExcelColumnIndex>1</ExcelColumnIndex>
          <WordColumnCount>1</WordColumnCount>
          <Hidden>false</Hidden>
          <WidthInTwips>135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135</WidthInTwips>
        </ExcelColumnData>
        <ExcelColumnData>
          <ExcelColumnIndex>4</ExcelColumnIndex>
          <WordColumnCount>3</WordColumnCount>
          <Hidden>false</Hidden>
          <WidthInTwips>1335</WidthInTwips>
        </ExcelColumnData>
      </ExcelColumnData>
      <ExcelMergedAreas/>
      <UseRefreshCodePath>true</UseRefreshCodePath>
      <ExcelHiddenRows xmlns:d4p1="http://schemas.microsoft.com/2003/10/Serialization/Arrays"/>
    </ContentControlData>
    <ContentControlData>
      <CreatedApplicationName>RRD ActiveLink Word Add-in</CreatedApplicationName>
      <CreatedApplicationVersion>1.9.5.43</CreatedApplicationVersion>
      <CreatedBy>NEXSTAR\mhoyla</CreatedBy>
      <CreatedDate>2015-10-13T01:32:11.4512637Z</CreatedDate>
      <ModifiedApplicationName>RRD ActiveLink Word Add-in</ModifiedApplicationName>
      <ModifiedApplicationVersion>2.1.0.24</ModifiedApplicationVersion>
      <ModifiedBy>NEXSTAR\mhoyla</ModifiedBy>
      <LastSavedDate>2016-02-16T23:46:34.6924569Z</LastSavedDate>
      <SdtTitle>AL-PR_Qtr_Highlights - Nexstar_Mission_Marshall_Dec312015</SdtTitle>
      <SdtTag>db103b5f-8be3-409d-bcc0-9fb8f0240d85</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center</TableAlignment>
      </Preferences>
      <ExcelRangeName>PR_Qtr_Highlights</ExcelRangeName>
      <ExcelRange>
        <Left>1</Left>
        <Top>4</Top>
        <Right>13</Right>
        <Bottom>29</Bottom>
      </ExcelRange>
      <WorkbookAbsoluteFilePath>https://my.activedisclosure.com/sites/nexstar/2015/Nexstar/NXST-10K-20151231/Project Document Library/Excel Workbooks/Nexstar_Mission_Marshall_Dec312015.xlsx</WorkbookAbsoluteFilePath>
      <WorkbookRelativeFilePath>../../../NXST-10K-20151231/Project%20Document%20Library/Excel%20Workbooks/Nexstar_Mission_Marshall_Dec312015.xlsx</WorkbookRelativeFilePath>
      <WorksheetName>PR Tables</WorksheetName>
      <TableWidthType>Percent100</TableWidthType>
      <TableWidthPercent>100</TableWidthPercent>
      <ExcelColumnData>
        <ExcelColumnData>
          <ExcelColumnIndex>0</ExcelColumnIndex>
          <WordColumnCount>1</WordColumnCount>
          <Hidden>false</Hidden>
          <WidthInTwips>5655</WidthInTwips>
        </ExcelColumnData>
        <ExcelColumnData>
          <ExcelColumnIndex>1</ExcelColumnIndex>
          <WordColumnCount>1</WordColumnCount>
          <Hidden>false</Hidden>
          <WidthInTwips>135</WidthInTwips>
        </ExcelColumnData>
        <ExcelColumnData>
          <ExcelColumnIndex>2</ExcelColumnIndex>
          <WordColumnCount>3</WordColumnCount>
          <Hidden>false</Hidden>
          <WidthInTwips>1335</WidthInTwips>
        </ExcelColumnData>
        <ExcelColumnData>
          <ExcelColumnIndex>3</ExcelColumnIndex>
          <WordColumnCount>3</WordColumnCount>
          <Hidden>false</Hidden>
          <WidthInTwips>135</WidthInTwips>
        </ExcelColumnData>
        <ExcelColumnData>
          <ExcelColumnIndex>4</ExcelColumnIndex>
          <WordColumnCount>3</WordColumnCount>
          <Hidden>false</Hidden>
          <WidthInTwips>1335</WidthInTwips>
        </ExcelColumnData>
        <ExcelColumnData>
          <ExcelColumnIndex>5</ExcelColumnIndex>
          <WordColumnCount>1</WordColumnCount>
          <Hidden>false</Hidden>
          <WidthInTwips>180</WidthInTwips>
        </ExcelColumnData>
        <ExcelColumnData>
          <ExcelColumnIndex>6</ExcelColumnIndex>
          <WordColumnCount>3</WordColumnCount>
          <Hidden>false</Hidden>
          <WidthInTwips>1005</WidthInTwips>
        </ExcelColumnData>
        <ExcelColumnData>
          <ExcelColumnIndex>7</ExcelColumnIndex>
          <WordColumnCount>1</WordColumnCount>
          <Hidden>false</Hidden>
          <WidthInTwips>135</WidthInTwips>
        </ExcelColumnData>
        <ExcelColumnData>
          <ExcelColumnIndex>8</ExcelColumnIndex>
          <WordColumnCount>3</WordColumnCount>
          <Hidden>false</Hidden>
          <WidthInTwips>1380</WidthInTwips>
        </ExcelColumnData>
        <ExcelColumnData>
          <ExcelColumnIndex>9</ExcelColumnIndex>
          <WordColumnCount>1</WordColumnCount>
          <Hidden>false</Hidden>
          <WidthInTwips>135</WidthInTwips>
        </ExcelColumnData>
        <ExcelColumnData>
          <ExcelColumnIndex>10</ExcelColumnIndex>
          <WordColumnCount>3</WordColumnCount>
          <Hidden>false</Hidden>
          <WidthInTwips>1380</WidthInTwips>
        </ExcelColumnData>
        <ExcelColumnData>
          <ExcelColumnIndex>11</ExcelColumnIndex>
          <WordColumnCount>1</WordColumnCount>
          <Hidden>false</Hidden>
          <WidthInTwips>135</WidthInTwips>
        </ExcelColumnData>
        <ExcelColumnData>
          <ExcelColumnIndex>12</ExcelColumnIndex>
          <WordColumnCount>3</WordColumnCount>
          <Hidden>false</Hidden>
          <WidthInTwips>1005</WidthInTwips>
        </ExcelColumnData>
      </ExcelColumnData>
      <ExcelMergedAreas>
        <Rectangle>
          <Left>3</Left>
          <Top>4</Top>
          <Right>5</Right>
          <Bottom>4</Bottom>
        </Rectangle>
        <Rectangle>
          <Left>9</Left>
          <Top>4</Top>
          <Right>11</Right>
          <Bottom>4</Bottom>
        </Rectangle>
      </ExcelMergedAreas>
      <UseRefreshCodePath>true</UseRefreshCodePath>
      <ExcelHiddenRows xmlns:d4p1="http://schemas.microsoft.com/2003/10/Serialization/Arrays"/>
    </ContentControlData>
  </ContentControls>
</ActiveLinkData>
</file>

<file path=customXml/item2.xml><?xml version="1.0" encoding="utf-8"?>
<ct:contentTypeSchema xmlns:ct="http://schemas.microsoft.com/office/2006/metadata/contentType" xmlns:ma="http://schemas.microsoft.com/office/2006/metadata/properties/metaAttributes" ct:_="" ma:_="" ma:contentTypeName="PublishDraftExhibit" ma:contentTypeID="0x010100121A050309644838A5DB9F5C1508166400E03EAD4E7B5C3442AB9551FB5C1AAA26" ma:contentTypeVersion="0" ma:contentTypeDescription="Content Type for Publish Draft Exhibit." ma:contentTypeScope="" ma:versionID="83cd695be8928848143428f0489a2616">
  <xsd:schema xmlns:xsd="http://www.w3.org/2001/XMLSchema" xmlns:xs="http://www.w3.org/2001/XMLSchema" xmlns:p="http://schemas.microsoft.com/office/2006/metadata/properties" xmlns:ns2="4E08798C-D0A8-4398-92A0-93614E0EC6CD" targetNamespace="http://schemas.microsoft.com/office/2006/metadata/properties" ma:root="true" ma:fieldsID="bed85e5bf7a194bcc36ac8e7497fa621" ns2:_="">
    <xsd:import namespace="4E08798C-D0A8-4398-92A0-93614E0EC6CD"/>
    <xsd:element name="properties">
      <xsd:complexType>
        <xsd:sequence>
          <xsd:element name="documentManagement">
            <xsd:complexType>
              <xsd:all>
                <xsd:element ref="ns2:Edgr_DocSecFormType" minOccurs="0"/>
                <xsd:element ref="ns2:Edgr_Amendment" minOccurs="0"/>
                <xsd:element ref="ns2:Edgr_ExhibitDescription" minOccurs="0"/>
                <xsd:element ref="ns2:Edgr_SecCompliant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8798C-D0A8-4398-92A0-93614E0EC6CD" elementFormDefault="qualified">
    <xsd:import namespace="http://schemas.microsoft.com/office/2006/documentManagement/types"/>
    <xsd:import namespace="http://schemas.microsoft.com/office/infopath/2007/PartnerControls"/>
    <xsd:element name="Edgr_DocSecFormType" ma:index="8" nillable="true" ma:displayName="Exhibit Type" ma:internalName="Edgr_DocSecFormType">
      <xsd:simpleType>
        <xsd:restriction base="dms:Unknown"/>
      </xsd:simpleType>
    </xsd:element>
    <xsd:element name="Edgr_Amendment" ma:index="9" nillable="true" ma:displayName="Amendment" ma:internalName="Edgr_Amendment">
      <xsd:simpleType>
        <xsd:restriction base="dms:Boolean"/>
      </xsd:simpleType>
    </xsd:element>
    <xsd:element name="Edgr_ExhibitDescription" ma:index="10" nillable="true" ma:displayName="Description" ma:internalName="Edgr_ExhibitDescription">
      <xsd:simpleType>
        <xsd:restriction base="dms:Note">
          <xsd:maxLength value="255"/>
        </xsd:restriction>
      </xsd:simpleType>
    </xsd:element>
    <xsd:element name="Edgr_SecCompliantFileName" ma:index="11" nillable="true" ma:displayName="SEC Compliant File Name" ma:internalName="Edgr_SecCompliant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gr_Amendment xmlns="4E08798C-D0A8-4398-92A0-93614E0EC6CD">false</Edgr_Amendment>
    <Edgr_DocSecFormType xmlns="4E08798C-D0A8-4398-92A0-93614E0EC6CD">EX-99.1</Edgr_DocSecFormType>
    <Edgr_SecCompliantFileName xmlns="4E08798C-D0A8-4398-92A0-93614E0EC6CD">nxst-ex991_6.docx</Edgr_SecCompliantFileName>
    <Edgr_ExhibitDescription xmlns="4E08798C-D0A8-4398-92A0-93614E0EC6CD">EX-99.1</Edgr_ExhibitDescription>
  </documentManagement>
</p:properties>
</file>

<file path=customXml/itemProps1.xml><?xml version="1.0" encoding="utf-8"?>
<ds:datastoreItem xmlns:ds="http://schemas.openxmlformats.org/officeDocument/2006/customXml" ds:itemID="{8C28F929-845D-448C-A0EA-9B430AF23333}">
  <ds:schemaRefs>
    <ds:schemaRef ds:uri="http://www.rrdonnelley.com/programs/activelink/data"/>
    <ds:schemaRef ds:uri="http://schemas.microsoft.com/2003/10/Serialization/Arrays"/>
  </ds:schemaRefs>
</ds:datastoreItem>
</file>

<file path=customXml/itemProps2.xml><?xml version="1.0" encoding="utf-8"?>
<ds:datastoreItem xmlns:ds="http://schemas.openxmlformats.org/officeDocument/2006/customXml" ds:itemID="{2B323D6E-CD6D-40E2-8DE4-1150868F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8798C-D0A8-4398-92A0-93614E0EC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D6A3E-781C-4EF9-A0F7-92CA378D96E8}">
  <ds:schemaRefs>
    <ds:schemaRef ds:uri="http://schemas.microsoft.com/sharepoint/v3/contenttype/forms"/>
  </ds:schemaRefs>
</ds:datastoreItem>
</file>

<file path=customXml/itemProps4.xml><?xml version="1.0" encoding="utf-8"?>
<ds:datastoreItem xmlns:ds="http://schemas.openxmlformats.org/officeDocument/2006/customXml" ds:itemID="{2B2C9660-A9DD-47E4-84FA-AE237CDBC856}">
  <ds:schemaRefs>
    <ds:schemaRef ds:uri="http://purl.org/dc/elements/1.1/"/>
    <ds:schemaRef ds:uri="http://schemas.microsoft.com/office/2006/metadata/properties"/>
    <ds:schemaRef ds:uri="4E08798C-D0A8-4398-92A0-93614E0EC6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JaffoniJ</dc:creator>
  <cp:lastModifiedBy>Joseph Jaffoni</cp:lastModifiedBy>
  <cp:revision>8</cp:revision>
  <dcterms:created xsi:type="dcterms:W3CDTF">2016-02-24T16:00:00Z</dcterms:created>
  <dcterms:modified xsi:type="dcterms:W3CDTF">2016-02-24T21:45:00Z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0x010100121A050309644838A5DB9F5C1508166400E03EAD4E7B5C3442AB9551FB5C1AAA26</vt:lpwstr>
  </property>
</Properties>
</file>